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700" w:rsidRPr="0056493E" w:rsidRDefault="000F2700" w:rsidP="000F2700">
      <w:pPr>
        <w:spacing w:after="0" w:line="240" w:lineRule="auto"/>
        <w:jc w:val="center"/>
        <w:rPr>
          <w:rFonts w:asciiTheme="minorHAnsi" w:hAnsiTheme="minorHAnsi" w:cs="Arial"/>
          <w:b/>
          <w:bCs/>
          <w:color w:val="auto"/>
          <w:sz w:val="24"/>
          <w:szCs w:val="24"/>
          <w:u w:val="single"/>
        </w:rPr>
      </w:pPr>
      <w:r w:rsidRPr="0056493E">
        <w:rPr>
          <w:rFonts w:asciiTheme="minorHAnsi" w:hAnsiTheme="minorHAnsi" w:cs="Arial"/>
          <w:b/>
          <w:bCs/>
          <w:color w:val="auto"/>
          <w:sz w:val="24"/>
          <w:szCs w:val="24"/>
          <w:u w:val="single"/>
        </w:rPr>
        <w:t xml:space="preserve">II. </w:t>
      </w:r>
      <w:proofErr w:type="spellStart"/>
      <w:r w:rsidRPr="0056493E">
        <w:rPr>
          <w:rFonts w:asciiTheme="minorHAnsi" w:hAnsiTheme="minorHAnsi" w:cs="Arial"/>
          <w:b/>
          <w:bCs/>
          <w:color w:val="auto"/>
          <w:sz w:val="24"/>
          <w:szCs w:val="24"/>
          <w:u w:val="single"/>
        </w:rPr>
        <w:t>Felhívásspecifikus</w:t>
      </w:r>
      <w:proofErr w:type="spellEnd"/>
      <w:r w:rsidRPr="0056493E">
        <w:rPr>
          <w:rFonts w:asciiTheme="minorHAnsi" w:hAnsiTheme="minorHAnsi" w:cs="Arial"/>
          <w:b/>
          <w:bCs/>
          <w:color w:val="auto"/>
          <w:sz w:val="24"/>
          <w:szCs w:val="24"/>
          <w:u w:val="single"/>
        </w:rPr>
        <w:t xml:space="preserve"> kiválasztási kritériumok</w:t>
      </w:r>
    </w:p>
    <w:p w:rsidR="000F2700" w:rsidRPr="00C5277D" w:rsidRDefault="000F2700" w:rsidP="000F2700">
      <w:pPr>
        <w:keepNext/>
        <w:spacing w:before="240" w:after="160" w:line="240" w:lineRule="auto"/>
        <w:jc w:val="both"/>
        <w:rPr>
          <w:rFonts w:asciiTheme="minorHAnsi" w:hAnsiTheme="minorHAnsi" w:cs="Arial"/>
          <w:color w:val="auto"/>
          <w:sz w:val="22"/>
          <w:szCs w:val="22"/>
        </w:rPr>
      </w:pPr>
      <w:r w:rsidRPr="0056493E">
        <w:rPr>
          <w:rFonts w:asciiTheme="minorHAnsi" w:hAnsiTheme="minorHAnsi" w:cs="Arial"/>
          <w:color w:val="auto"/>
          <w:sz w:val="22"/>
          <w:szCs w:val="22"/>
        </w:rPr>
        <w:t xml:space="preserve">Kizárólag az általános kiválasztási kritériumokat kiegészítő, </w:t>
      </w:r>
      <w:proofErr w:type="spellStart"/>
      <w:r w:rsidRPr="0056493E">
        <w:rPr>
          <w:rFonts w:asciiTheme="minorHAnsi" w:hAnsiTheme="minorHAnsi" w:cs="Arial"/>
          <w:color w:val="auto"/>
          <w:sz w:val="22"/>
          <w:szCs w:val="22"/>
        </w:rPr>
        <w:t>felhívásspecifikus</w:t>
      </w:r>
      <w:proofErr w:type="spellEnd"/>
      <w:r w:rsidRPr="0056493E">
        <w:rPr>
          <w:rFonts w:asciiTheme="minorHAnsi" w:hAnsiTheme="minorHAnsi" w:cs="Arial"/>
          <w:color w:val="auto"/>
          <w:sz w:val="22"/>
          <w:szCs w:val="22"/>
        </w:rPr>
        <w:t xml:space="preserve"> kiválasztási kritériumok kerülnek felsorolásra.</w:t>
      </w:r>
    </w:p>
    <w:p w:rsidR="000F2700" w:rsidRDefault="000F2700" w:rsidP="00961BD9">
      <w:pPr>
        <w:spacing w:before="100" w:beforeAutospacing="1" w:after="100" w:afterAutospacing="1" w:line="240" w:lineRule="auto"/>
        <w:jc w:val="center"/>
        <w:rPr>
          <w:rFonts w:cs="Arial"/>
          <w:b/>
          <w:bCs/>
          <w:sz w:val="24"/>
          <w:szCs w:val="24"/>
          <w:u w:val="single"/>
        </w:rPr>
      </w:pPr>
    </w:p>
    <w:p w:rsidR="00961BD9" w:rsidRPr="00D33A29" w:rsidRDefault="00961BD9" w:rsidP="00961BD9">
      <w:pPr>
        <w:spacing w:before="100" w:beforeAutospacing="1" w:after="100" w:afterAutospacing="1" w:line="240" w:lineRule="auto"/>
        <w:jc w:val="center"/>
        <w:rPr>
          <w:rFonts w:cs="Arial"/>
          <w:b/>
          <w:bCs/>
          <w:sz w:val="24"/>
          <w:szCs w:val="24"/>
          <w:u w:val="single"/>
        </w:rPr>
      </w:pPr>
      <w:r w:rsidRPr="00D33A29">
        <w:rPr>
          <w:rFonts w:cs="Arial"/>
          <w:b/>
          <w:bCs/>
          <w:sz w:val="24"/>
          <w:szCs w:val="24"/>
          <w:u w:val="single"/>
        </w:rPr>
        <w:t>TOP_Plusz-3.3.3-23 Köznevelési infrastruktúra fejlesztése</w:t>
      </w:r>
    </w:p>
    <w:p w:rsidR="00961BD9" w:rsidRPr="00132C86" w:rsidRDefault="00961BD9" w:rsidP="00961BD9">
      <w:pPr>
        <w:numPr>
          <w:ilvl w:val="0"/>
          <w:numId w:val="8"/>
        </w:numPr>
        <w:spacing w:before="100" w:beforeAutospacing="1" w:after="100" w:afterAutospacing="1" w:line="240" w:lineRule="auto"/>
        <w:jc w:val="both"/>
        <w:rPr>
          <w:rFonts w:eastAsia="Calibri" w:cs="Arial"/>
          <w:b/>
          <w:color w:val="auto"/>
        </w:rPr>
      </w:pPr>
      <w:r w:rsidRPr="00132C86">
        <w:rPr>
          <w:rFonts w:eastAsia="Calibri" w:cs="Arial"/>
          <w:b/>
          <w:color w:val="auto"/>
        </w:rPr>
        <w:t xml:space="preserve">Felhívás célja, tartalma azonosítása: </w:t>
      </w:r>
    </w:p>
    <w:p w:rsidR="00961BD9" w:rsidRPr="003A57AE" w:rsidRDefault="00961BD9" w:rsidP="00961BD9">
      <w:pPr>
        <w:spacing w:after="0" w:line="240" w:lineRule="auto"/>
        <w:ind w:left="360"/>
        <w:jc w:val="both"/>
      </w:pPr>
      <w:r w:rsidRPr="003A57AE">
        <w:t xml:space="preserve">Fejlesztés célja az állami és nem állami fenntartású köznevelési intézmények valós, helyi igényekre alapozott infrastrukturális fejlesztése, valamint az érintett intézmények hatékony pedagógiai eszközrendszerét, módszertani megújulását támogató, a minőségi neveléshez-oktatáshoz illeszkedő funkcionális egységek, </w:t>
      </w:r>
      <w:proofErr w:type="spellStart"/>
      <w:r w:rsidRPr="003A57AE">
        <w:t>feladatellátási</w:t>
      </w:r>
      <w:proofErr w:type="spellEnd"/>
      <w:r w:rsidRPr="003A57AE">
        <w:t xml:space="preserve"> helyek kialakítása, korszerűsítése. </w:t>
      </w:r>
    </w:p>
    <w:p w:rsidR="00961BD9" w:rsidRPr="003A57AE" w:rsidRDefault="00961BD9" w:rsidP="00961BD9">
      <w:pPr>
        <w:spacing w:after="0" w:line="240" w:lineRule="auto"/>
        <w:ind w:left="360"/>
        <w:jc w:val="both"/>
      </w:pPr>
    </w:p>
    <w:p w:rsidR="00961BD9" w:rsidRPr="003A57AE" w:rsidRDefault="00961BD9" w:rsidP="00961BD9">
      <w:pPr>
        <w:spacing w:after="0" w:line="240" w:lineRule="auto"/>
        <w:ind w:left="360"/>
        <w:jc w:val="both"/>
      </w:pPr>
      <w:r w:rsidRPr="003A57AE">
        <w:t>Az infrastrukturális fejlesztések kiemelt célja, hogy a területi különbségeket kiegyenlítve, az egyenlő esélyeket megteremtve, és a közel azonos színvonalú köznevelési feladatellátáshoz való hozzáférést biztosítva legyenek meg az intézményekben a jelen kor elvárásainak megfelelő infrastrukturális feltételek különösen a megfelelő számú, korszerűen felszerelt tanterem, szaktanterem, labor, nyelvi képzési helyszín, informatikai és egyéb eszközök. A közösségi terek, a sportolási lehetőségek, a mindennapos testnevelés infrastrukturális és eszköz feltételei, valamint az intézményben már meghonosított, vagy a helyi igény alapján ellátandó egyes művészeti ágak, tanszakok követelményei szerinti alapfokú művészetoktatás, a tehetséggondozás és a hátránykompenzáció biztosításához szükséges termek és speciális eszközök, továbbá a tanulók nevelését, oktatását, képzését, valamint a fejlesztését biztosító helyiségek, eszközök.</w:t>
      </w:r>
    </w:p>
    <w:p w:rsidR="00961BD9" w:rsidRPr="003A57AE" w:rsidRDefault="00961BD9" w:rsidP="00961BD9">
      <w:pPr>
        <w:spacing w:after="0" w:line="240" w:lineRule="auto"/>
        <w:ind w:left="360"/>
        <w:jc w:val="both"/>
      </w:pPr>
    </w:p>
    <w:p w:rsidR="00961BD9" w:rsidRPr="003A57AE" w:rsidRDefault="00961BD9" w:rsidP="00961BD9">
      <w:pPr>
        <w:spacing w:after="0" w:line="240" w:lineRule="auto"/>
        <w:ind w:left="360"/>
        <w:jc w:val="both"/>
      </w:pPr>
      <w:r w:rsidRPr="003A57AE">
        <w:t xml:space="preserve">A köznevelési intézmények infrastrukturális fejlesztésének fő célja fokozni az adott intézmény eredményességét és emelni az általa nyújtott szolgáltatások minőségének színvonalát, ezzel biztosítva a minőségi oktatáshoz, neveléshez való egyenlő hozzáférést. </w:t>
      </w:r>
      <w:proofErr w:type="gramStart"/>
      <w:r w:rsidRPr="003A57AE">
        <w:t>Cél az állami és nem állami fenntartású alap- és középfokú köznevelési intézmények (beleértve a velük kapcsolatban álló kollégiumok) beruházásainak célirányos támogatása, a minőségi oktatási környezet és hatékony nevelés infrastrukturális feltételeinek megteremtése, valamint a végzettség nélküli iskolaelhagyás csökkentése érdekében, az alacsony teljesítményt nyújtó, a 2014-2020 közötti infrastrukturális fejlesztésekből kimaradt, elsősorban a fejlesztendő járásokban működő alap- és középfokú köznevelési intézmények (beleértve a velük kapcsolatban álló kollégiumok) infrastrukturális fejlesztésének</w:t>
      </w:r>
      <w:proofErr w:type="gramEnd"/>
      <w:r w:rsidRPr="003A57AE">
        <w:t xml:space="preserve"> </w:t>
      </w:r>
      <w:proofErr w:type="gramStart"/>
      <w:r w:rsidRPr="003A57AE">
        <w:t>segítése</w:t>
      </w:r>
      <w:proofErr w:type="gramEnd"/>
      <w:r w:rsidRPr="003A57AE">
        <w:t>.</w:t>
      </w:r>
    </w:p>
    <w:p w:rsidR="00961BD9" w:rsidRPr="004D0E8A" w:rsidRDefault="00961BD9" w:rsidP="00961BD9">
      <w:pPr>
        <w:spacing w:after="0" w:line="240" w:lineRule="auto"/>
        <w:ind w:left="360"/>
        <w:jc w:val="both"/>
        <w:rPr>
          <w:rFonts w:cs="Arial"/>
        </w:rPr>
      </w:pPr>
    </w:p>
    <w:p w:rsidR="00961BD9" w:rsidRPr="00A96DEA" w:rsidRDefault="00961BD9" w:rsidP="00961BD9">
      <w:pPr>
        <w:spacing w:after="0" w:line="240" w:lineRule="auto"/>
        <w:ind w:left="360"/>
        <w:jc w:val="both"/>
        <w:rPr>
          <w:rFonts w:cs="Arial"/>
        </w:rPr>
      </w:pPr>
      <w:r w:rsidRPr="0077441A">
        <w:rPr>
          <w:rFonts w:cs="Arial"/>
        </w:rPr>
        <w:t xml:space="preserve">További cél a sajátos nevelési igényű gyermeket, tanulókat nevelő-oktató </w:t>
      </w:r>
      <w:r w:rsidRPr="00A96DEA">
        <w:rPr>
          <w:rFonts w:cs="Arial"/>
        </w:rPr>
        <w:t>intézmények infrastrukturális fejlesztése.</w:t>
      </w:r>
    </w:p>
    <w:p w:rsidR="00961BD9" w:rsidRPr="00A96DEA" w:rsidRDefault="00961BD9" w:rsidP="00961BD9">
      <w:pPr>
        <w:spacing w:after="0" w:line="240" w:lineRule="auto"/>
        <w:ind w:left="360"/>
        <w:jc w:val="both"/>
        <w:rPr>
          <w:rFonts w:cs="Arial"/>
        </w:rPr>
      </w:pPr>
    </w:p>
    <w:p w:rsidR="00961BD9" w:rsidRPr="00C85EC7" w:rsidRDefault="00961BD9" w:rsidP="00961BD9">
      <w:pPr>
        <w:spacing w:after="0" w:line="240" w:lineRule="auto"/>
        <w:ind w:left="360"/>
        <w:jc w:val="both"/>
        <w:rPr>
          <w:rFonts w:cs="Arial"/>
        </w:rPr>
      </w:pPr>
      <w:r w:rsidRPr="00C85EC7">
        <w:rPr>
          <w:rFonts w:cs="Arial"/>
        </w:rPr>
        <w:t>Részcélok:</w:t>
      </w:r>
    </w:p>
    <w:p w:rsidR="00961BD9" w:rsidRPr="004D0E8A" w:rsidRDefault="00961BD9" w:rsidP="00961BD9">
      <w:pPr>
        <w:pStyle w:val="Listaszerbekezds"/>
        <w:numPr>
          <w:ilvl w:val="0"/>
          <w:numId w:val="5"/>
        </w:numPr>
        <w:spacing w:after="0" w:line="240" w:lineRule="auto"/>
        <w:jc w:val="both"/>
        <w:rPr>
          <w:rFonts w:ascii="Arial" w:hAnsi="Arial" w:cs="Arial"/>
          <w:sz w:val="20"/>
          <w:szCs w:val="20"/>
        </w:rPr>
      </w:pPr>
      <w:r w:rsidRPr="00C85EC7">
        <w:rPr>
          <w:rFonts w:ascii="Arial" w:eastAsiaTheme="minorHAnsi" w:hAnsi="Arial" w:cs="Arial"/>
          <w:color w:val="000000" w:themeColor="text1"/>
          <w:sz w:val="20"/>
          <w:szCs w:val="20"/>
        </w:rPr>
        <w:t>a helyi szükségletek kielégítésére irányuló, racionális és hatékony működést biztosító, korszerű nevelési, oktatási környezet kialakítása, különösen a tanulást segítő és közösségi terek tekintetében;</w:t>
      </w:r>
    </w:p>
    <w:p w:rsidR="00961BD9" w:rsidRPr="004D0E8A" w:rsidRDefault="00961BD9" w:rsidP="00961BD9">
      <w:pPr>
        <w:pStyle w:val="Listaszerbekezds"/>
        <w:numPr>
          <w:ilvl w:val="0"/>
          <w:numId w:val="5"/>
        </w:numPr>
        <w:spacing w:after="0" w:line="240" w:lineRule="auto"/>
        <w:jc w:val="both"/>
        <w:rPr>
          <w:rFonts w:ascii="Arial" w:hAnsi="Arial" w:cs="Arial"/>
          <w:sz w:val="20"/>
          <w:szCs w:val="20"/>
        </w:rPr>
      </w:pPr>
      <w:r w:rsidRPr="004D0E8A">
        <w:rPr>
          <w:rFonts w:ascii="Arial" w:eastAsiaTheme="minorHAnsi" w:hAnsi="Arial" w:cs="Arial"/>
          <w:color w:val="000000" w:themeColor="text1"/>
          <w:sz w:val="20"/>
          <w:szCs w:val="20"/>
        </w:rPr>
        <w:t>a nevelési-oktatási intézmények működéséről és a köznevelési intézmények név használatáról szóló 20/2012 (VIII. 31.) EMMI rendelet 2. sz. melléklet szerint meghatározott kötelező helyiségek kialakítása, felújítása, valamint az Oktatási Hivatal honlapján közzétett a nevelési-oktatási intézmények kötelező (minimális) felszereléseiről szóló eszközök beszerzésének támogatása a minőségi nevelés feltételeinek megteremtése érdekében,</w:t>
      </w:r>
    </w:p>
    <w:p w:rsidR="00961BD9" w:rsidRPr="004D0E8A" w:rsidRDefault="00961BD9" w:rsidP="00961BD9">
      <w:pPr>
        <w:pStyle w:val="Listaszerbekezds"/>
        <w:numPr>
          <w:ilvl w:val="0"/>
          <w:numId w:val="5"/>
        </w:numPr>
        <w:spacing w:after="0" w:line="240" w:lineRule="auto"/>
        <w:jc w:val="both"/>
        <w:rPr>
          <w:rFonts w:ascii="Arial" w:eastAsiaTheme="minorHAnsi" w:hAnsi="Arial" w:cs="Arial"/>
          <w:color w:val="000000" w:themeColor="text1"/>
          <w:sz w:val="20"/>
          <w:szCs w:val="20"/>
        </w:rPr>
      </w:pPr>
      <w:r w:rsidRPr="004D0E8A">
        <w:rPr>
          <w:rFonts w:ascii="Arial" w:eastAsiaTheme="minorHAnsi" w:hAnsi="Arial" w:cs="Arial"/>
          <w:color w:val="000000" w:themeColor="text1"/>
          <w:sz w:val="20"/>
          <w:szCs w:val="20"/>
        </w:rPr>
        <w:lastRenderedPageBreak/>
        <w:t>A sajátos nevelési igényű gyermeket, tanulókat nevelő-oktató intézmények infrastrukturális fejlesztése.</w:t>
      </w:r>
    </w:p>
    <w:p w:rsidR="00961BD9" w:rsidRPr="0077441A" w:rsidRDefault="00961BD9" w:rsidP="00961BD9">
      <w:pPr>
        <w:spacing w:after="0" w:line="240" w:lineRule="auto"/>
        <w:ind w:left="360"/>
        <w:jc w:val="both"/>
        <w:rPr>
          <w:rFonts w:cs="Arial"/>
        </w:rPr>
      </w:pPr>
    </w:p>
    <w:p w:rsidR="00961BD9" w:rsidRPr="00A96DEA" w:rsidRDefault="00961BD9" w:rsidP="00961BD9">
      <w:pPr>
        <w:spacing w:after="0" w:line="240" w:lineRule="auto"/>
        <w:ind w:left="360"/>
        <w:jc w:val="both"/>
        <w:rPr>
          <w:rFonts w:cs="Arial"/>
        </w:rPr>
      </w:pPr>
      <w:r w:rsidRPr="00A96DEA">
        <w:rPr>
          <w:rFonts w:cs="Arial"/>
        </w:rPr>
        <w:t>A felhívás hozzájárul a Duna Régió Stratégia alábbi fellépéseinek megvalósulásához:</w:t>
      </w:r>
    </w:p>
    <w:p w:rsidR="00961BD9" w:rsidRPr="004D0E8A" w:rsidRDefault="00961BD9" w:rsidP="00961BD9">
      <w:pPr>
        <w:pStyle w:val="Listaszerbekezds"/>
        <w:numPr>
          <w:ilvl w:val="0"/>
          <w:numId w:val="7"/>
        </w:numPr>
        <w:spacing w:after="0" w:line="240" w:lineRule="auto"/>
        <w:ind w:left="709"/>
        <w:jc w:val="both"/>
        <w:rPr>
          <w:rFonts w:ascii="Arial" w:hAnsi="Arial" w:cs="Arial"/>
          <w:sz w:val="20"/>
          <w:szCs w:val="20"/>
        </w:rPr>
      </w:pPr>
      <w:r w:rsidRPr="004D0E8A">
        <w:rPr>
          <w:rFonts w:ascii="Arial" w:hAnsi="Arial" w:cs="Arial"/>
          <w:sz w:val="20"/>
          <w:szCs w:val="20"/>
        </w:rPr>
        <w:t>3. pillér, KK9, 5. fellépés: Az oktatási és képzési rendszerek minősége és hatékonysága</w:t>
      </w:r>
    </w:p>
    <w:p w:rsidR="00961BD9" w:rsidRPr="004D0E8A" w:rsidRDefault="00961BD9" w:rsidP="00961BD9">
      <w:pPr>
        <w:pStyle w:val="Listaszerbekezds"/>
        <w:numPr>
          <w:ilvl w:val="0"/>
          <w:numId w:val="7"/>
        </w:numPr>
        <w:spacing w:after="0" w:line="240" w:lineRule="auto"/>
        <w:ind w:left="709"/>
        <w:jc w:val="both"/>
        <w:rPr>
          <w:rFonts w:ascii="Arial" w:hAnsi="Arial" w:cs="Arial"/>
          <w:sz w:val="20"/>
          <w:szCs w:val="20"/>
        </w:rPr>
      </w:pPr>
      <w:r w:rsidRPr="004D0E8A">
        <w:rPr>
          <w:rFonts w:ascii="Arial" w:hAnsi="Arial" w:cs="Arial"/>
          <w:sz w:val="20"/>
          <w:szCs w:val="20"/>
        </w:rPr>
        <w:t>3. pillér, KK9, 8. fellépés: Inkluzív oktatás, igazságosság, közös értékek és fenntartható fejlődés</w:t>
      </w:r>
    </w:p>
    <w:p w:rsidR="00961BD9" w:rsidRDefault="00961BD9" w:rsidP="00961BD9">
      <w:pPr>
        <w:spacing w:after="0" w:line="240" w:lineRule="auto"/>
        <w:ind w:left="360"/>
        <w:jc w:val="both"/>
      </w:pPr>
    </w:p>
    <w:p w:rsidR="00961BD9" w:rsidRDefault="00961BD9" w:rsidP="00961BD9">
      <w:pPr>
        <w:spacing w:after="0" w:line="240" w:lineRule="auto"/>
        <w:ind w:left="360"/>
        <w:jc w:val="both"/>
      </w:pPr>
      <w:r w:rsidRPr="00132C86">
        <w:t>Jelen felhívás keretében kizárólag olyan támogatási kérelmek támogathatóak, amelyek megfelelnek a fenti célkitűzéseknek.</w:t>
      </w:r>
    </w:p>
    <w:p w:rsidR="00961BD9"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 xml:space="preserve">Pályázók köre: </w:t>
      </w:r>
    </w:p>
    <w:p w:rsidR="00961BD9" w:rsidRPr="00132C86" w:rsidRDefault="00961BD9" w:rsidP="00961BD9">
      <w:pPr>
        <w:spacing w:after="0" w:line="240" w:lineRule="auto"/>
        <w:ind w:left="360"/>
        <w:jc w:val="both"/>
      </w:pPr>
      <w:r w:rsidRPr="00132C86">
        <w:t xml:space="preserve">Köznevelési intézmények esetében: a nemzeti köznevelésről szóló 2011. évi CXC. törvény 7.§ (1) </w:t>
      </w:r>
      <w:proofErr w:type="spellStart"/>
      <w:r w:rsidRPr="00132C86">
        <w:t>b-g</w:t>
      </w:r>
      <w:proofErr w:type="spellEnd"/>
      <w:r w:rsidRPr="00132C86">
        <w:t>), i)</w:t>
      </w:r>
      <w:proofErr w:type="spellStart"/>
      <w:r w:rsidRPr="00132C86">
        <w:t>-j</w:t>
      </w:r>
      <w:proofErr w:type="spellEnd"/>
      <w:r w:rsidRPr="00132C86">
        <w:t>) valamint a 20. § (1) bekezdés szerinti intézmények, illetve kollégiumok állami és nem állami fenntartói, valamint a 2011. évi CXC. törvény 7.§ (1) k) pontja szerinti intézmények közül a Pest Megyei Pedagógiai Szakszolgálat fennt</w:t>
      </w:r>
      <w:r>
        <w:t xml:space="preserve">artója nyújthatnak be kérelmet </w:t>
      </w:r>
      <w:r w:rsidRPr="00132C86">
        <w:t>önállóan vagy konzorciumban</w:t>
      </w:r>
      <w:r>
        <w:t>.</w:t>
      </w:r>
    </w:p>
    <w:p w:rsidR="00961BD9" w:rsidRPr="00132C86"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 xml:space="preserve">Földrajzi területi korlátozás: </w:t>
      </w:r>
    </w:p>
    <w:p w:rsidR="00961BD9" w:rsidRPr="00132C86" w:rsidRDefault="00961BD9" w:rsidP="00961BD9">
      <w:pPr>
        <w:spacing w:after="0" w:line="240" w:lineRule="auto"/>
        <w:ind w:left="360"/>
        <w:jc w:val="both"/>
      </w:pPr>
      <w:r w:rsidRPr="00132C86">
        <w:t xml:space="preserve">A kevésbé fejlett régiók esetében a felhívás mellékletét képező </w:t>
      </w:r>
      <w:proofErr w:type="spellStart"/>
      <w:r w:rsidRPr="00132C86">
        <w:t>területspecifikus</w:t>
      </w:r>
      <w:proofErr w:type="spellEnd"/>
      <w:r w:rsidRPr="00132C86">
        <w:t xml:space="preserve"> mellékletek szerinti megyék településein, kivéve a vármegyei Integrált Területi Programokban meghatározott azon városokat és várostérségeket, amelyek a Fenntartható Városfejlesztési eszköz keretében jogosultak támogatási kérelmet benyújtani.</w:t>
      </w:r>
    </w:p>
    <w:p w:rsidR="00961BD9" w:rsidRPr="00132C86"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 xml:space="preserve">Támogatási összeg: </w:t>
      </w:r>
    </w:p>
    <w:p w:rsidR="00961BD9" w:rsidRPr="00B90004" w:rsidRDefault="00961BD9" w:rsidP="00961BD9">
      <w:pPr>
        <w:spacing w:after="0" w:line="240" w:lineRule="auto"/>
        <w:ind w:left="360"/>
        <w:jc w:val="both"/>
      </w:pPr>
      <w:r w:rsidRPr="00B90004">
        <w:t>8</w:t>
      </w:r>
      <w:r>
        <w:t>0</w:t>
      </w:r>
      <w:r w:rsidRPr="00B90004">
        <w:t xml:space="preserve"> Mrd Ft</w:t>
      </w:r>
    </w:p>
    <w:p w:rsidR="00961BD9" w:rsidRPr="00132C86"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 xml:space="preserve">Elbírálás módja: </w:t>
      </w:r>
    </w:p>
    <w:p w:rsidR="00961BD9" w:rsidRPr="00B90004" w:rsidRDefault="00961BD9" w:rsidP="00961BD9">
      <w:pPr>
        <w:spacing w:after="0" w:line="240" w:lineRule="auto"/>
        <w:ind w:left="360"/>
        <w:jc w:val="both"/>
      </w:pPr>
      <w:r w:rsidRPr="00B90004">
        <w:t xml:space="preserve">A projektekről </w:t>
      </w:r>
      <w:r>
        <w:t xml:space="preserve">TKR </w:t>
      </w:r>
      <w:r w:rsidRPr="00B90004">
        <w:t>standard eljárás szabályai szerint születik döntés.</w:t>
      </w:r>
    </w:p>
    <w:p w:rsidR="00961BD9" w:rsidRPr="00132C86"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 xml:space="preserve">Alkalmazott kiválasztási eljárásrend: </w:t>
      </w:r>
    </w:p>
    <w:p w:rsidR="00961BD9" w:rsidRDefault="00961BD9" w:rsidP="00961BD9">
      <w:pPr>
        <w:spacing w:after="0" w:line="240" w:lineRule="auto"/>
        <w:ind w:left="360"/>
        <w:jc w:val="both"/>
      </w:pPr>
      <w:r>
        <w:t>TKR standard.</w:t>
      </w:r>
    </w:p>
    <w:p w:rsidR="00961BD9" w:rsidRDefault="00961BD9" w:rsidP="00961BD9">
      <w:pPr>
        <w:spacing w:after="0" w:line="240" w:lineRule="auto"/>
        <w:ind w:left="360"/>
        <w:jc w:val="both"/>
      </w:pPr>
    </w:p>
    <w:p w:rsidR="00961BD9" w:rsidRPr="00B90004" w:rsidRDefault="00961BD9" w:rsidP="00961BD9">
      <w:pPr>
        <w:spacing w:after="0" w:line="240" w:lineRule="auto"/>
        <w:ind w:left="360"/>
        <w:jc w:val="both"/>
      </w:pPr>
      <w:r w:rsidRPr="00B90004">
        <w:t>A felhívásra beérkező támogatási kérelmek a Korm. rendelet alapján területi kiválasztási eljárásrend alapján kerülnek kiválasztásra.</w:t>
      </w:r>
    </w:p>
    <w:p w:rsidR="00961BD9" w:rsidRDefault="00961BD9" w:rsidP="00961BD9">
      <w:pPr>
        <w:numPr>
          <w:ilvl w:val="0"/>
          <w:numId w:val="8"/>
        </w:numPr>
        <w:spacing w:before="100" w:beforeAutospacing="1" w:after="100" w:afterAutospacing="1" w:line="240" w:lineRule="auto"/>
        <w:ind w:hanging="357"/>
        <w:jc w:val="both"/>
        <w:rPr>
          <w:rFonts w:eastAsia="Calibri" w:cs="Arial"/>
          <w:b/>
          <w:color w:val="auto"/>
        </w:rPr>
      </w:pPr>
      <w:r w:rsidRPr="00132C86">
        <w:rPr>
          <w:rFonts w:eastAsia="Calibri" w:cs="Arial"/>
          <w:b/>
          <w:color w:val="auto"/>
        </w:rPr>
        <w:t>A felhívás a következő OP indikátorok teljesítéséhez járul hozzá:</w:t>
      </w:r>
    </w:p>
    <w:tbl>
      <w:tblPr>
        <w:tblStyle w:val="Rcsostblzat1"/>
        <w:tblW w:w="492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0722"/>
        <w:gridCol w:w="3066"/>
      </w:tblGrid>
      <w:tr w:rsidR="00961BD9" w:rsidRPr="0077274D" w:rsidTr="00C5795A">
        <w:trPr>
          <w:trHeight w:val="391"/>
          <w:jc w:val="center"/>
        </w:trPr>
        <w:tc>
          <w:tcPr>
            <w:tcW w:w="3888" w:type="pct"/>
            <w:vAlign w:val="center"/>
            <w:hideMark/>
          </w:tcPr>
          <w:p w:rsidR="00961BD9" w:rsidRPr="0077274D" w:rsidRDefault="00961BD9" w:rsidP="00C5795A">
            <w:pPr>
              <w:jc w:val="center"/>
              <w:rPr>
                <w:rFonts w:cs="Arial"/>
                <w:b/>
                <w:color w:val="A6A6A6" w:themeColor="background1" w:themeShade="A6"/>
                <w:lang w:val="hu-HU"/>
              </w:rPr>
            </w:pPr>
            <w:r w:rsidRPr="0077274D">
              <w:rPr>
                <w:rFonts w:cs="Arial"/>
                <w:b/>
                <w:lang w:val="hu-HU"/>
              </w:rPr>
              <w:lastRenderedPageBreak/>
              <w:t>Indikátor megnevezése</w:t>
            </w:r>
          </w:p>
        </w:tc>
        <w:tc>
          <w:tcPr>
            <w:tcW w:w="1112" w:type="pct"/>
            <w:shd w:val="clear" w:color="auto" w:fill="auto"/>
          </w:tcPr>
          <w:p w:rsidR="00961BD9" w:rsidRPr="0077274D" w:rsidRDefault="00961BD9" w:rsidP="00C5795A">
            <w:pPr>
              <w:jc w:val="center"/>
              <w:rPr>
                <w:rFonts w:cs="Arial"/>
                <w:b/>
                <w:lang w:val="hu-HU"/>
              </w:rPr>
            </w:pPr>
            <w:r w:rsidRPr="0077274D">
              <w:rPr>
                <w:rFonts w:cs="Arial"/>
                <w:b/>
                <w:lang w:val="hu-HU"/>
              </w:rPr>
              <w:t>Kódszám</w:t>
            </w:r>
          </w:p>
        </w:tc>
      </w:tr>
      <w:tr w:rsidR="00961BD9" w:rsidRPr="0077274D" w:rsidTr="00C5795A">
        <w:trPr>
          <w:trHeight w:val="291"/>
          <w:jc w:val="center"/>
        </w:trPr>
        <w:tc>
          <w:tcPr>
            <w:tcW w:w="5000" w:type="pct"/>
            <w:gridSpan w:val="2"/>
          </w:tcPr>
          <w:p w:rsidR="00961BD9" w:rsidRPr="0077274D" w:rsidRDefault="00961BD9" w:rsidP="00C5795A">
            <w:pPr>
              <w:jc w:val="center"/>
              <w:rPr>
                <w:rFonts w:cs="Arial"/>
                <w:b/>
                <w:lang w:val="hu-HU"/>
              </w:rPr>
            </w:pPr>
          </w:p>
        </w:tc>
      </w:tr>
      <w:tr w:rsidR="00961BD9" w:rsidRPr="0077274D" w:rsidTr="00C5795A">
        <w:trPr>
          <w:trHeight w:val="291"/>
          <w:jc w:val="center"/>
        </w:trPr>
        <w:tc>
          <w:tcPr>
            <w:tcW w:w="3888" w:type="pct"/>
          </w:tcPr>
          <w:p w:rsidR="00961BD9" w:rsidRPr="0077274D" w:rsidRDefault="00961BD9" w:rsidP="00C5795A">
            <w:pPr>
              <w:jc w:val="both"/>
              <w:rPr>
                <w:rFonts w:cs="Arial"/>
                <w:lang w:val="hu-HU"/>
              </w:rPr>
            </w:pPr>
            <w:r w:rsidRPr="0030133F">
              <w:rPr>
                <w:rFonts w:cs="Arial"/>
                <w:lang w:val="hu-HU"/>
              </w:rPr>
              <w:t>Az új vagy korszerűsített oktatási létesítmények osztálytermi kapacitása</w:t>
            </w:r>
          </w:p>
        </w:tc>
        <w:tc>
          <w:tcPr>
            <w:tcW w:w="1112" w:type="pct"/>
            <w:shd w:val="clear" w:color="auto" w:fill="auto"/>
          </w:tcPr>
          <w:p w:rsidR="00961BD9" w:rsidRPr="0077274D" w:rsidRDefault="00961BD9" w:rsidP="00C5795A">
            <w:pPr>
              <w:jc w:val="center"/>
              <w:rPr>
                <w:rFonts w:cs="Arial"/>
                <w:lang w:val="hu-HU"/>
              </w:rPr>
            </w:pPr>
            <w:r w:rsidRPr="0030133F">
              <w:rPr>
                <w:rFonts w:cs="Arial"/>
                <w:lang w:val="hu-HU"/>
              </w:rPr>
              <w:t>RCO67</w:t>
            </w:r>
          </w:p>
        </w:tc>
      </w:tr>
      <w:tr w:rsidR="00961BD9" w:rsidRPr="0077274D" w:rsidTr="00C5795A">
        <w:trPr>
          <w:trHeight w:val="291"/>
          <w:jc w:val="center"/>
        </w:trPr>
        <w:tc>
          <w:tcPr>
            <w:tcW w:w="3888" w:type="pct"/>
          </w:tcPr>
          <w:p w:rsidR="00961BD9" w:rsidRPr="0077274D" w:rsidRDefault="00961BD9" w:rsidP="00C5795A">
            <w:pPr>
              <w:jc w:val="both"/>
              <w:rPr>
                <w:rFonts w:cs="Arial"/>
                <w:lang w:val="hu-HU"/>
              </w:rPr>
            </w:pPr>
            <w:r w:rsidRPr="0030133F">
              <w:rPr>
                <w:rFonts w:cs="Arial"/>
                <w:lang w:val="hu-HU"/>
              </w:rPr>
              <w:t>Korszerűsített köznevelési intézmények száma</w:t>
            </w:r>
          </w:p>
        </w:tc>
        <w:tc>
          <w:tcPr>
            <w:tcW w:w="1112" w:type="pct"/>
            <w:shd w:val="clear" w:color="auto" w:fill="auto"/>
          </w:tcPr>
          <w:p w:rsidR="00961BD9" w:rsidRPr="0077274D" w:rsidRDefault="00961BD9" w:rsidP="00C5795A">
            <w:pPr>
              <w:jc w:val="center"/>
              <w:rPr>
                <w:rFonts w:cs="Arial"/>
                <w:lang w:val="hu-HU"/>
              </w:rPr>
            </w:pPr>
            <w:r w:rsidRPr="0030133F">
              <w:rPr>
                <w:rFonts w:cs="Arial"/>
                <w:lang w:val="hu-HU"/>
              </w:rPr>
              <w:t>TPO30</w:t>
            </w:r>
          </w:p>
        </w:tc>
      </w:tr>
      <w:tr w:rsidR="00961BD9" w:rsidRPr="0077274D" w:rsidTr="00C5795A">
        <w:trPr>
          <w:trHeight w:val="291"/>
          <w:jc w:val="center"/>
        </w:trPr>
        <w:tc>
          <w:tcPr>
            <w:tcW w:w="3888" w:type="pct"/>
          </w:tcPr>
          <w:p w:rsidR="00961BD9" w:rsidRPr="0030133F" w:rsidRDefault="00961BD9" w:rsidP="00C5795A">
            <w:pPr>
              <w:jc w:val="both"/>
              <w:rPr>
                <w:rFonts w:cs="Arial"/>
              </w:rPr>
            </w:pPr>
            <w:r w:rsidRPr="0030133F">
              <w:rPr>
                <w:rFonts w:cs="Arial"/>
                <w:lang w:val="hu-HU"/>
              </w:rPr>
              <w:t>Korszerűsített kollégiumok száma</w:t>
            </w:r>
          </w:p>
        </w:tc>
        <w:tc>
          <w:tcPr>
            <w:tcW w:w="1112" w:type="pct"/>
            <w:shd w:val="clear" w:color="auto" w:fill="auto"/>
          </w:tcPr>
          <w:p w:rsidR="00961BD9" w:rsidRPr="0077274D" w:rsidRDefault="00961BD9" w:rsidP="00C5795A">
            <w:pPr>
              <w:jc w:val="center"/>
              <w:rPr>
                <w:rFonts w:cs="Arial"/>
              </w:rPr>
            </w:pPr>
            <w:r w:rsidRPr="0030133F">
              <w:rPr>
                <w:rFonts w:cs="Arial"/>
                <w:lang w:val="hu-HU"/>
              </w:rPr>
              <w:t>TPO31</w:t>
            </w:r>
          </w:p>
        </w:tc>
      </w:tr>
      <w:tr w:rsidR="00961BD9" w:rsidRPr="0077274D" w:rsidTr="00C5795A">
        <w:trPr>
          <w:trHeight w:val="291"/>
          <w:jc w:val="center"/>
        </w:trPr>
        <w:tc>
          <w:tcPr>
            <w:tcW w:w="3888" w:type="pct"/>
          </w:tcPr>
          <w:p w:rsidR="00961BD9" w:rsidRPr="0030133F" w:rsidRDefault="00961BD9" w:rsidP="00C5795A">
            <w:pPr>
              <w:jc w:val="both"/>
              <w:rPr>
                <w:rFonts w:cs="Arial"/>
              </w:rPr>
            </w:pPr>
            <w:proofErr w:type="spellStart"/>
            <w:r w:rsidRPr="0030133F">
              <w:rPr>
                <w:rFonts w:cs="Arial"/>
              </w:rPr>
              <w:t>Az</w:t>
            </w:r>
            <w:proofErr w:type="spellEnd"/>
            <w:r w:rsidRPr="0030133F">
              <w:rPr>
                <w:rFonts w:cs="Arial"/>
              </w:rPr>
              <w:t xml:space="preserve"> </w:t>
            </w:r>
            <w:proofErr w:type="spellStart"/>
            <w:r w:rsidRPr="0030133F">
              <w:rPr>
                <w:rFonts w:cs="Arial"/>
              </w:rPr>
              <w:t>új</w:t>
            </w:r>
            <w:proofErr w:type="spellEnd"/>
            <w:r w:rsidRPr="0030133F">
              <w:rPr>
                <w:rFonts w:cs="Arial"/>
              </w:rPr>
              <w:t xml:space="preserve"> </w:t>
            </w:r>
            <w:proofErr w:type="spellStart"/>
            <w:r w:rsidRPr="0030133F">
              <w:rPr>
                <w:rFonts w:cs="Arial"/>
              </w:rPr>
              <w:t>vagy</w:t>
            </w:r>
            <w:proofErr w:type="spellEnd"/>
            <w:r w:rsidRPr="0030133F">
              <w:rPr>
                <w:rFonts w:cs="Arial"/>
              </w:rPr>
              <w:t xml:space="preserve"> </w:t>
            </w:r>
            <w:proofErr w:type="spellStart"/>
            <w:r w:rsidRPr="0030133F">
              <w:rPr>
                <w:rFonts w:cs="Arial"/>
              </w:rPr>
              <w:t>korszerűsített</w:t>
            </w:r>
            <w:proofErr w:type="spellEnd"/>
            <w:r w:rsidRPr="0030133F">
              <w:rPr>
                <w:rFonts w:cs="Arial"/>
              </w:rPr>
              <w:t xml:space="preserve"> </w:t>
            </w:r>
            <w:proofErr w:type="spellStart"/>
            <w:r w:rsidRPr="0030133F">
              <w:rPr>
                <w:rFonts w:cs="Arial"/>
              </w:rPr>
              <w:t>oktatási</w:t>
            </w:r>
            <w:proofErr w:type="spellEnd"/>
            <w:r w:rsidRPr="0030133F">
              <w:rPr>
                <w:rFonts w:cs="Arial"/>
              </w:rPr>
              <w:t xml:space="preserve"> </w:t>
            </w:r>
            <w:proofErr w:type="spellStart"/>
            <w:r w:rsidRPr="0030133F">
              <w:rPr>
                <w:rFonts w:cs="Arial"/>
              </w:rPr>
              <w:t>létesítmények</w:t>
            </w:r>
            <w:proofErr w:type="spellEnd"/>
            <w:r w:rsidRPr="0030133F">
              <w:rPr>
                <w:rFonts w:cs="Arial"/>
              </w:rPr>
              <w:t xml:space="preserve"> </w:t>
            </w:r>
            <w:proofErr w:type="spellStart"/>
            <w:r w:rsidRPr="0030133F">
              <w:rPr>
                <w:rFonts w:cs="Arial"/>
              </w:rPr>
              <w:t>éves</w:t>
            </w:r>
            <w:proofErr w:type="spellEnd"/>
            <w:r w:rsidRPr="0030133F">
              <w:rPr>
                <w:rFonts w:cs="Arial"/>
              </w:rPr>
              <w:t xml:space="preserve"> </w:t>
            </w:r>
            <w:proofErr w:type="spellStart"/>
            <w:r w:rsidRPr="0030133F">
              <w:rPr>
                <w:rFonts w:cs="Arial"/>
              </w:rPr>
              <w:t>felhasználói</w:t>
            </w:r>
            <w:proofErr w:type="spellEnd"/>
          </w:p>
        </w:tc>
        <w:tc>
          <w:tcPr>
            <w:tcW w:w="1112" w:type="pct"/>
            <w:shd w:val="clear" w:color="auto" w:fill="auto"/>
          </w:tcPr>
          <w:p w:rsidR="00961BD9" w:rsidRPr="0077274D" w:rsidRDefault="00961BD9" w:rsidP="00C5795A">
            <w:pPr>
              <w:jc w:val="center"/>
              <w:rPr>
                <w:rFonts w:cs="Arial"/>
              </w:rPr>
            </w:pPr>
            <w:r w:rsidRPr="0030133F">
              <w:rPr>
                <w:rFonts w:cs="Arial"/>
              </w:rPr>
              <w:t>RCR71</w:t>
            </w:r>
          </w:p>
        </w:tc>
      </w:tr>
    </w:tbl>
    <w:p w:rsidR="00961BD9" w:rsidRPr="00D33A29" w:rsidRDefault="00961BD9" w:rsidP="00961BD9">
      <w:pPr>
        <w:numPr>
          <w:ilvl w:val="0"/>
          <w:numId w:val="8"/>
        </w:numPr>
        <w:spacing w:before="100" w:beforeAutospacing="1" w:after="100" w:afterAutospacing="1" w:line="240" w:lineRule="auto"/>
        <w:ind w:hanging="357"/>
        <w:jc w:val="both"/>
        <w:rPr>
          <w:rFonts w:eastAsia="Calibri" w:cs="Arial"/>
          <w:b/>
          <w:color w:val="auto"/>
        </w:rPr>
      </w:pPr>
      <w:proofErr w:type="spellStart"/>
      <w:r w:rsidRPr="00D33A29">
        <w:rPr>
          <w:rFonts w:eastAsia="Calibri" w:cs="Arial"/>
          <w:b/>
          <w:color w:val="auto"/>
        </w:rPr>
        <w:t>Felhívásspecifikus</w:t>
      </w:r>
      <w:proofErr w:type="spellEnd"/>
      <w:r w:rsidRPr="00D33A29">
        <w:rPr>
          <w:rFonts w:eastAsia="Calibri" w:cs="Arial"/>
          <w:b/>
          <w:color w:val="auto"/>
        </w:rPr>
        <w:t xml:space="preserve"> nem </w:t>
      </w:r>
      <w:proofErr w:type="spellStart"/>
      <w:r w:rsidRPr="00D33A29">
        <w:rPr>
          <w:rFonts w:eastAsia="Calibri" w:cs="Arial"/>
          <w:b/>
          <w:color w:val="auto"/>
        </w:rPr>
        <w:t>hiánypótoltatható</w:t>
      </w:r>
      <w:proofErr w:type="spellEnd"/>
      <w:r w:rsidRPr="00D33A29">
        <w:rPr>
          <w:rFonts w:eastAsia="Calibri" w:cs="Arial"/>
          <w:b/>
          <w:color w:val="auto"/>
        </w:rPr>
        <w:t xml:space="preserve"> jogosultsági kritériumok:</w:t>
      </w:r>
    </w:p>
    <w:p w:rsidR="00961BD9" w:rsidRPr="00D33A29" w:rsidRDefault="00961BD9" w:rsidP="00961BD9">
      <w:pPr>
        <w:numPr>
          <w:ilvl w:val="0"/>
          <w:numId w:val="2"/>
        </w:numPr>
        <w:spacing w:before="100" w:beforeAutospacing="1" w:after="100" w:afterAutospacing="1" w:line="240" w:lineRule="auto"/>
        <w:ind w:hanging="357"/>
        <w:jc w:val="both"/>
        <w:rPr>
          <w:rFonts w:eastAsia="Calibri" w:cs="Arial"/>
          <w:color w:val="auto"/>
        </w:rPr>
      </w:pPr>
      <w:r w:rsidRPr="00D33A29">
        <w:rPr>
          <w:rFonts w:eastAsia="Calibri" w:cs="Arial"/>
          <w:color w:val="auto"/>
        </w:rPr>
        <w:t>Nem releváns</w:t>
      </w:r>
    </w:p>
    <w:p w:rsidR="00961BD9" w:rsidRPr="00D33A29" w:rsidRDefault="00961BD9" w:rsidP="00961BD9">
      <w:pPr>
        <w:numPr>
          <w:ilvl w:val="0"/>
          <w:numId w:val="8"/>
        </w:numPr>
        <w:spacing w:before="100" w:beforeAutospacing="1" w:after="100" w:afterAutospacing="1" w:line="240" w:lineRule="auto"/>
        <w:ind w:hanging="357"/>
        <w:jc w:val="both"/>
        <w:rPr>
          <w:rFonts w:eastAsia="Calibri" w:cs="Arial"/>
          <w:b/>
          <w:color w:val="auto"/>
        </w:rPr>
      </w:pPr>
      <w:proofErr w:type="spellStart"/>
      <w:r w:rsidRPr="00D33A29">
        <w:rPr>
          <w:rFonts w:eastAsia="Calibri" w:cs="Arial"/>
          <w:b/>
          <w:color w:val="auto"/>
        </w:rPr>
        <w:t>Felhívásspecifikus</w:t>
      </w:r>
      <w:proofErr w:type="spellEnd"/>
      <w:r w:rsidRPr="00D33A29">
        <w:rPr>
          <w:rFonts w:eastAsia="Calibri" w:cs="Arial"/>
          <w:b/>
          <w:color w:val="auto"/>
        </w:rPr>
        <w:t xml:space="preserve"> </w:t>
      </w:r>
      <w:proofErr w:type="spellStart"/>
      <w:r w:rsidRPr="00D33A29">
        <w:rPr>
          <w:rFonts w:eastAsia="Calibri" w:cs="Arial"/>
          <w:b/>
          <w:color w:val="auto"/>
        </w:rPr>
        <w:t>hiánypótoltatható</w:t>
      </w:r>
      <w:proofErr w:type="spellEnd"/>
      <w:r w:rsidRPr="00D33A29">
        <w:rPr>
          <w:rFonts w:eastAsia="Calibri" w:cs="Arial"/>
          <w:b/>
          <w:color w:val="auto"/>
        </w:rPr>
        <w:t xml:space="preserve"> jogosultsági kritériumok:</w:t>
      </w:r>
    </w:p>
    <w:p w:rsidR="00961BD9" w:rsidRPr="00D33A29" w:rsidRDefault="00961BD9" w:rsidP="00961BD9">
      <w:pPr>
        <w:numPr>
          <w:ilvl w:val="0"/>
          <w:numId w:val="3"/>
        </w:numPr>
        <w:spacing w:before="100" w:beforeAutospacing="1" w:after="100" w:afterAutospacing="1" w:line="240" w:lineRule="auto"/>
        <w:ind w:hanging="357"/>
        <w:jc w:val="both"/>
        <w:rPr>
          <w:rFonts w:eastAsia="Calibri" w:cs="Arial"/>
          <w:color w:val="auto"/>
        </w:rPr>
      </w:pPr>
      <w:r w:rsidRPr="00D33A29">
        <w:rPr>
          <w:rFonts w:eastAsia="Calibri" w:cs="Arial"/>
          <w:color w:val="auto"/>
        </w:rPr>
        <w:t xml:space="preserve">A </w:t>
      </w:r>
      <w:proofErr w:type="spellStart"/>
      <w:r w:rsidRPr="00D33A29">
        <w:rPr>
          <w:rFonts w:eastAsia="Calibri" w:cs="Arial"/>
          <w:color w:val="auto"/>
        </w:rPr>
        <w:t>hiánypótolható</w:t>
      </w:r>
      <w:proofErr w:type="spellEnd"/>
      <w:r w:rsidRPr="00D33A29">
        <w:rPr>
          <w:rFonts w:eastAsia="Calibri" w:cs="Arial"/>
          <w:color w:val="auto"/>
        </w:rPr>
        <w:t>, kötelezően csatolandó mellékletek benyújtásra kerültek.</w:t>
      </w:r>
    </w:p>
    <w:p w:rsidR="00961BD9" w:rsidRPr="009A236B" w:rsidRDefault="00961BD9" w:rsidP="00961BD9">
      <w:pPr>
        <w:numPr>
          <w:ilvl w:val="0"/>
          <w:numId w:val="8"/>
        </w:numPr>
        <w:spacing w:before="100" w:beforeAutospacing="1" w:after="100" w:afterAutospacing="1" w:line="240" w:lineRule="auto"/>
        <w:ind w:hanging="357"/>
        <w:jc w:val="both"/>
        <w:rPr>
          <w:rFonts w:eastAsia="Calibri" w:cs="Arial"/>
          <w:b/>
          <w:bCs/>
          <w:color w:val="auto"/>
          <w:u w:val="single"/>
        </w:rPr>
      </w:pPr>
      <w:proofErr w:type="spellStart"/>
      <w:r w:rsidRPr="00D33A29">
        <w:rPr>
          <w:rFonts w:eastAsia="Calibri" w:cs="Arial"/>
          <w:b/>
          <w:bCs/>
          <w:color w:val="auto"/>
        </w:rPr>
        <w:t>Felhívásspecifikus</w:t>
      </w:r>
      <w:proofErr w:type="spellEnd"/>
      <w:r w:rsidRPr="00D33A29">
        <w:rPr>
          <w:rFonts w:eastAsia="Calibri" w:cs="Arial"/>
          <w:b/>
          <w:bCs/>
          <w:color w:val="auto"/>
        </w:rPr>
        <w:t xml:space="preserve"> tartalmi kiválasztási kritériumok:</w:t>
      </w:r>
    </w:p>
    <w:tbl>
      <w:tblPr>
        <w:tblW w:w="14166" w:type="dxa"/>
        <w:tblLayout w:type="fixed"/>
        <w:tblLook w:val="04A0" w:firstRow="1" w:lastRow="0" w:firstColumn="1" w:lastColumn="0" w:noHBand="0" w:noVBand="1"/>
      </w:tblPr>
      <w:tblGrid>
        <w:gridCol w:w="1206"/>
        <w:gridCol w:w="2045"/>
        <w:gridCol w:w="4253"/>
        <w:gridCol w:w="4961"/>
        <w:gridCol w:w="1701"/>
      </w:tblGrid>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shd w:val="clear" w:color="auto" w:fill="D5DCE4" w:themeFill="text2" w:themeFillTint="33"/>
            <w:tcMar>
              <w:left w:w="70" w:type="dxa"/>
              <w:right w:w="70" w:type="dxa"/>
            </w:tcMar>
            <w:vAlign w:val="center"/>
          </w:tcPr>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Azonosító</w:t>
            </w:r>
          </w:p>
        </w:tc>
        <w:tc>
          <w:tcPr>
            <w:tcW w:w="2045" w:type="dxa"/>
            <w:tcBorders>
              <w:top w:val="single" w:sz="8" w:space="0" w:color="auto"/>
              <w:left w:val="single" w:sz="8" w:space="0" w:color="auto"/>
              <w:bottom w:val="single" w:sz="8" w:space="0" w:color="auto"/>
              <w:right w:val="single" w:sz="8" w:space="0" w:color="auto"/>
            </w:tcBorders>
            <w:shd w:val="clear" w:color="auto" w:fill="D5DCE4" w:themeFill="text2" w:themeFillTint="33"/>
            <w:tcMar>
              <w:left w:w="70" w:type="dxa"/>
              <w:right w:w="70" w:type="dxa"/>
            </w:tcMar>
            <w:vAlign w:val="center"/>
          </w:tcPr>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Kritérium megnevezése</w:t>
            </w:r>
          </w:p>
        </w:tc>
        <w:tc>
          <w:tcPr>
            <w:tcW w:w="4253" w:type="dxa"/>
            <w:tcBorders>
              <w:top w:val="single" w:sz="8" w:space="0" w:color="auto"/>
              <w:left w:val="single" w:sz="8" w:space="0" w:color="auto"/>
              <w:bottom w:val="single" w:sz="8" w:space="0" w:color="auto"/>
              <w:right w:val="single" w:sz="8" w:space="0" w:color="auto"/>
            </w:tcBorders>
            <w:shd w:val="clear" w:color="auto" w:fill="D5DCE4" w:themeFill="text2" w:themeFillTint="33"/>
            <w:tcMar>
              <w:left w:w="70" w:type="dxa"/>
              <w:right w:w="70" w:type="dxa"/>
            </w:tcMar>
            <w:vAlign w:val="center"/>
          </w:tcPr>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Tartalmi magyarázat</w:t>
            </w:r>
          </w:p>
        </w:tc>
        <w:tc>
          <w:tcPr>
            <w:tcW w:w="4961" w:type="dxa"/>
            <w:tcBorders>
              <w:top w:val="single" w:sz="8" w:space="0" w:color="auto"/>
              <w:left w:val="single" w:sz="8" w:space="0" w:color="auto"/>
              <w:bottom w:val="single" w:sz="8" w:space="0" w:color="auto"/>
              <w:right w:val="single" w:sz="8" w:space="0" w:color="auto"/>
            </w:tcBorders>
            <w:shd w:val="clear" w:color="auto" w:fill="D5DCE4" w:themeFill="text2" w:themeFillTint="33"/>
            <w:tcMar>
              <w:left w:w="70" w:type="dxa"/>
              <w:right w:w="70" w:type="dxa"/>
            </w:tcMar>
            <w:vAlign w:val="center"/>
          </w:tcPr>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Értékelési módszertan</w:t>
            </w:r>
          </w:p>
        </w:tc>
        <w:tc>
          <w:tcPr>
            <w:tcW w:w="1701" w:type="dxa"/>
            <w:tcBorders>
              <w:top w:val="single" w:sz="8" w:space="0" w:color="auto"/>
              <w:left w:val="single" w:sz="8" w:space="0" w:color="auto"/>
              <w:bottom w:val="single" w:sz="8" w:space="0" w:color="auto"/>
              <w:right w:val="single" w:sz="8" w:space="0" w:color="auto"/>
            </w:tcBorders>
            <w:shd w:val="clear" w:color="auto" w:fill="D5DCE4" w:themeFill="text2" w:themeFillTint="33"/>
            <w:tcMar>
              <w:left w:w="70" w:type="dxa"/>
              <w:right w:w="70" w:type="dxa"/>
            </w:tcMar>
            <w:vAlign w:val="center"/>
          </w:tcPr>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Minősítés</w:t>
            </w:r>
          </w:p>
          <w:p w:rsidR="00961BD9" w:rsidRPr="00D33A29" w:rsidRDefault="00961BD9" w:rsidP="00C5795A">
            <w:pPr>
              <w:spacing w:after="0" w:line="240" w:lineRule="auto"/>
              <w:jc w:val="center"/>
              <w:rPr>
                <w:rFonts w:eastAsia="Arial" w:cs="Arial"/>
                <w:b/>
                <w:bCs/>
                <w:lang w:val="hu"/>
              </w:rPr>
            </w:pPr>
            <w:r w:rsidRPr="00D33A29">
              <w:rPr>
                <w:rFonts w:eastAsia="Arial" w:cs="Arial"/>
                <w:b/>
                <w:bCs/>
                <w:lang w:val="hu"/>
              </w:rPr>
              <w:t>(Megfelelt/Nem felelt meg/Részben megfelelt/Nem releváns)</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Kizáró okok vizsgálata</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Vizsgálni szükséges a fejlesztés megvalósítási helyszínének FVS városi lehatárolását, különös tekintettel a pedagógiai szakszolgálatok fejlesztésére.</w:t>
            </w:r>
            <w:r w:rsidRPr="00D33A29" w:rsidDel="00EC2533">
              <w:rPr>
                <w:rFonts w:eastAsia="Arial" w:cs="Arial"/>
                <w:lang w:val="hu"/>
              </w:rPr>
              <w:t xml:space="preserve"> </w:t>
            </w:r>
          </w:p>
          <w:p w:rsidR="00961BD9" w:rsidRPr="00D33A2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Kizárandó, a korábban az államháztartás alrendszereiből, vagy a Strukturális Alapokból </w:t>
            </w:r>
            <w:r w:rsidRPr="00D33A29">
              <w:rPr>
                <w:rFonts w:eastAsia="Arial" w:cs="Arial"/>
                <w:lang w:val="hu"/>
              </w:rPr>
              <w:lastRenderedPageBreak/>
              <w:t>támogatott, még megvalósítás alatt álló beruházás.</w:t>
            </w:r>
          </w:p>
          <w:p w:rsidR="00961BD9" w:rsidRPr="00D33A2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Szükséges vizsgálni, hogy nem okoz felesleges, kihasználatlan kapacitásbővítést a fejlesztés. </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D33A29" w:rsidRDefault="00961BD9" w:rsidP="00C5795A">
            <w:pPr>
              <w:spacing w:after="0" w:line="240" w:lineRule="auto"/>
              <w:jc w:val="both"/>
              <w:rPr>
                <w:rFonts w:cs="Arial"/>
              </w:rPr>
            </w:pPr>
            <w:r w:rsidRPr="00D33A29">
              <w:rPr>
                <w:rFonts w:cs="Arial"/>
              </w:rPr>
              <w:lastRenderedPageBreak/>
              <w:t xml:space="preserve">Kritérium vizsgálatát a támogatási kérelem </w:t>
            </w:r>
            <w:r>
              <w:rPr>
                <w:rFonts w:cs="Arial"/>
              </w:rPr>
              <w:t xml:space="preserve">és az adatlap </w:t>
            </w:r>
            <w:r w:rsidRPr="00D33A29">
              <w:rPr>
                <w:rFonts w:cs="Arial"/>
              </w:rPr>
              <w:t>alapján kell elvégezni.</w:t>
            </w:r>
          </w:p>
          <w:p w:rsidR="00961BD9" w:rsidRPr="00D33A29" w:rsidRDefault="00961BD9" w:rsidP="00C5795A">
            <w:pPr>
              <w:spacing w:after="0" w:line="240" w:lineRule="auto"/>
              <w:jc w:val="both"/>
              <w:rPr>
                <w:rFonts w:cs="Arial"/>
              </w:rPr>
            </w:pPr>
          </w:p>
          <w:p w:rsidR="00961BD9" w:rsidRPr="00D33A29" w:rsidRDefault="00961BD9" w:rsidP="00C5795A">
            <w:pPr>
              <w:spacing w:after="0" w:line="240" w:lineRule="auto"/>
              <w:jc w:val="both"/>
              <w:rPr>
                <w:rFonts w:cs="Arial"/>
              </w:rPr>
            </w:pPr>
            <w:r w:rsidRPr="00D33A29">
              <w:rPr>
                <w:rFonts w:cs="Arial"/>
              </w:rPr>
              <w:t xml:space="preserve">Amennyiben a köznevelési intézményfejlesztés megvalósítási helyszíne a vármegyei Integrált Területi Programokban meghatározott városok és várostérségek közigazgatási területén van, akkor a fenntartó támogatási kérelmet a TOP_Plusz-3.4.1-23 </w:t>
            </w:r>
            <w:r w:rsidRPr="00D33A29">
              <w:rPr>
                <w:rFonts w:cs="Arial"/>
              </w:rPr>
              <w:lastRenderedPageBreak/>
              <w:t xml:space="preserve">Fenntartható humán infrastruktúra felhívás keretében jogosult benyújtani (ez alól kivételt jelent a Pest Megyei Pedagógiai Szakszolgálat érdi </w:t>
            </w:r>
            <w:proofErr w:type="spellStart"/>
            <w:r w:rsidRPr="00D33A29">
              <w:rPr>
                <w:rFonts w:cs="Arial"/>
              </w:rPr>
              <w:t>feladatellátási</w:t>
            </w:r>
            <w:proofErr w:type="spellEnd"/>
            <w:r w:rsidRPr="00D33A29">
              <w:rPr>
                <w:rFonts w:cs="Arial"/>
              </w:rPr>
              <w:t xml:space="preserve"> helye, mely esetleges fejlesztésére jelen felhívás biztosít forrást).</w:t>
            </w:r>
          </w:p>
          <w:p w:rsidR="00961BD9" w:rsidRPr="00D33A29" w:rsidRDefault="00961BD9" w:rsidP="00C5795A">
            <w:pPr>
              <w:spacing w:after="0" w:line="240" w:lineRule="auto"/>
              <w:jc w:val="both"/>
              <w:rPr>
                <w:rFonts w:cs="Arial"/>
              </w:rPr>
            </w:pPr>
          </w:p>
          <w:p w:rsidR="00961BD9" w:rsidRDefault="00961BD9" w:rsidP="00C5795A">
            <w:pPr>
              <w:spacing w:after="0" w:line="240" w:lineRule="auto"/>
              <w:jc w:val="both"/>
              <w:rPr>
                <w:rFonts w:cs="Arial"/>
              </w:rPr>
            </w:pPr>
            <w:r w:rsidRPr="00D33A29">
              <w:rPr>
                <w:rFonts w:cs="Arial"/>
              </w:rPr>
              <w:t>Nem támogatható a támogatási kérelem, amennyiben azon tevékenység megvalósítására irányul, amely korábban az államháztartás alrendszereiből, vagy a Strukturális Alapokból – az adott épületre/épületrészre – vonatkozóan támogatásban részesült és annak kötelező fenntartási időszaka még nem járt le. Ez alól kivételt képez, ha a Felhívásra benyújtandó fejlesztési igény a korábban fejlesztett tevékenység minőségi továbbfejlesztésére vagy az intézmény/szolgáltatás meglévő férőhelyeinek bővítésére irányul a korábbi projekt eredményeinek fenntartásával.</w:t>
            </w:r>
          </w:p>
          <w:p w:rsidR="00961BD9" w:rsidRDefault="00961BD9" w:rsidP="00C5795A">
            <w:pPr>
              <w:spacing w:after="0" w:line="240" w:lineRule="auto"/>
              <w:jc w:val="both"/>
              <w:rPr>
                <w:color w:val="000000"/>
              </w:rPr>
            </w:pPr>
          </w:p>
          <w:p w:rsidR="00961BD9" w:rsidRPr="00D33A29" w:rsidRDefault="00961BD9" w:rsidP="00C5795A">
            <w:pPr>
              <w:spacing w:after="0" w:line="240" w:lineRule="auto"/>
              <w:jc w:val="both"/>
              <w:rPr>
                <w:rFonts w:cs="Arial"/>
              </w:rPr>
            </w:pPr>
            <w:r>
              <w:rPr>
                <w:color w:val="000000"/>
              </w:rPr>
              <w:t>Nem felelt meg minősítés esetén a projekt elutasítására kerül.</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Megfelelt / Nem felelt meg</w:t>
            </w:r>
          </w:p>
        </w:tc>
      </w:tr>
      <w:tr w:rsidR="00961BD9" w:rsidRPr="00D33A29" w:rsidTr="00C5795A">
        <w:trPr>
          <w:trHeight w:val="6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Illeszkedés</w:t>
            </w:r>
            <w:r w:rsidRPr="00D33A29">
              <w:rPr>
                <w:rFonts w:eastAsia="Arial" w:cs="Arial"/>
                <w:b/>
                <w:bCs/>
                <w:lang w:val="hu"/>
              </w:rPr>
              <w:t xml:space="preserve"> </w:t>
            </w:r>
            <w:r w:rsidRPr="00D33A29">
              <w:rPr>
                <w:rFonts w:eastAsia="Arial" w:cs="Arial"/>
                <w:lang w:val="hu"/>
              </w:rPr>
              <w:t>stratégiai célokhoz felhívás szinten</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12097E" w:rsidRDefault="00961BD9" w:rsidP="00C5795A">
            <w:pPr>
              <w:spacing w:after="0" w:line="240" w:lineRule="auto"/>
              <w:jc w:val="both"/>
              <w:rPr>
                <w:rFonts w:eastAsia="Arial" w:cs="Arial"/>
                <w:lang w:val="hu"/>
              </w:rPr>
            </w:pPr>
            <w:r w:rsidRPr="0012097E">
              <w:rPr>
                <w:rFonts w:eastAsia="Arial" w:cs="Arial"/>
                <w:bCs/>
                <w:lang w:val="hu"/>
              </w:rPr>
              <w:t>A projekt illeszkedik a felhívás céljához: a felhívásban szereplő célokat teljesíti, illetve azokhoz hozzájárul.</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rPr>
            </w:pPr>
            <w:r w:rsidRPr="00D33A29">
              <w:rPr>
                <w:rFonts w:cs="Arial"/>
              </w:rPr>
              <w:t xml:space="preserve">Kritérium vizsgálatát a támogatási kérelem </w:t>
            </w:r>
            <w:r>
              <w:rPr>
                <w:rFonts w:cs="Arial"/>
              </w:rPr>
              <w:t xml:space="preserve">és az adatlap </w:t>
            </w:r>
            <w:r w:rsidRPr="00D33A29">
              <w:rPr>
                <w:rFonts w:cs="Arial"/>
              </w:rPr>
              <w:t>alapján kell elvégezni.</w:t>
            </w:r>
          </w:p>
          <w:p w:rsidR="00961BD9" w:rsidRDefault="00961BD9" w:rsidP="00C5795A">
            <w:pPr>
              <w:spacing w:after="0" w:line="240" w:lineRule="auto"/>
              <w:jc w:val="both"/>
              <w:rPr>
                <w:rFonts w:cs="Arial"/>
              </w:rPr>
            </w:pPr>
          </w:p>
          <w:p w:rsidR="00961BD9" w:rsidRPr="00D33A29" w:rsidRDefault="00961BD9" w:rsidP="00C5795A">
            <w:pPr>
              <w:spacing w:after="0" w:line="240" w:lineRule="auto"/>
              <w:jc w:val="both"/>
              <w:rPr>
                <w:rFonts w:cs="Arial"/>
              </w:rPr>
            </w:pPr>
            <w:r w:rsidRPr="00D33A29">
              <w:rPr>
                <w:rFonts w:cs="Arial"/>
              </w:rPr>
              <w:t>A támogatási kérelemben bemutatásra és alátámasztásra kerül, hogy a tervezet fejlesztés hogyan járul hozzá</w:t>
            </w:r>
            <w:r>
              <w:rPr>
                <w:rFonts w:cs="Arial"/>
              </w:rPr>
              <w:t xml:space="preserve"> az alábbi célokhoz és részcélokhoz</w:t>
            </w:r>
            <w:r w:rsidRPr="00D33A29">
              <w:rPr>
                <w:rFonts w:cs="Arial"/>
              </w:rPr>
              <w:t>:</w:t>
            </w:r>
          </w:p>
          <w:p w:rsidR="00961BD9" w:rsidRPr="00D33A29" w:rsidRDefault="00961BD9" w:rsidP="00961BD9">
            <w:pPr>
              <w:pStyle w:val="Listaszerbekezds"/>
              <w:numPr>
                <w:ilvl w:val="0"/>
                <w:numId w:val="1"/>
              </w:numPr>
              <w:spacing w:after="0" w:line="240" w:lineRule="auto"/>
              <w:ind w:left="360"/>
              <w:jc w:val="both"/>
              <w:rPr>
                <w:rFonts w:ascii="Arial" w:eastAsiaTheme="minorHAnsi" w:hAnsi="Arial" w:cs="Arial"/>
                <w:color w:val="000000" w:themeColor="text1"/>
                <w:sz w:val="20"/>
                <w:szCs w:val="20"/>
              </w:rPr>
            </w:pPr>
            <w:r w:rsidRPr="00D33A29">
              <w:rPr>
                <w:rFonts w:ascii="Arial" w:eastAsiaTheme="minorHAnsi" w:hAnsi="Arial" w:cs="Arial"/>
                <w:color w:val="000000" w:themeColor="text1"/>
                <w:sz w:val="20"/>
                <w:szCs w:val="20"/>
              </w:rPr>
              <w:t>az oktatás minőségének javulásához,</w:t>
            </w:r>
          </w:p>
          <w:p w:rsidR="00961BD9" w:rsidRPr="00D33A29" w:rsidRDefault="00961BD9" w:rsidP="00961BD9">
            <w:pPr>
              <w:pStyle w:val="Listaszerbekezds"/>
              <w:numPr>
                <w:ilvl w:val="0"/>
                <w:numId w:val="1"/>
              </w:numPr>
              <w:spacing w:after="0" w:line="240" w:lineRule="auto"/>
              <w:ind w:left="360"/>
              <w:jc w:val="both"/>
              <w:rPr>
                <w:rFonts w:ascii="Arial" w:eastAsiaTheme="minorHAnsi" w:hAnsi="Arial" w:cs="Arial"/>
                <w:color w:val="000000" w:themeColor="text1"/>
                <w:sz w:val="20"/>
                <w:szCs w:val="20"/>
              </w:rPr>
            </w:pPr>
            <w:r w:rsidRPr="00D33A29">
              <w:rPr>
                <w:rFonts w:ascii="Arial" w:eastAsiaTheme="minorHAnsi" w:hAnsi="Arial" w:cs="Arial"/>
                <w:color w:val="000000" w:themeColor="text1"/>
                <w:sz w:val="20"/>
                <w:szCs w:val="20"/>
              </w:rPr>
              <w:t xml:space="preserve">kirekesztés nélküli hozzáférhetőség biztosításához, </w:t>
            </w:r>
          </w:p>
          <w:p w:rsidR="00961BD9" w:rsidRPr="00D33A29" w:rsidRDefault="00961BD9" w:rsidP="00961BD9">
            <w:pPr>
              <w:pStyle w:val="Listaszerbekezds"/>
              <w:numPr>
                <w:ilvl w:val="0"/>
                <w:numId w:val="1"/>
              </w:numPr>
              <w:spacing w:after="0" w:line="240" w:lineRule="auto"/>
              <w:ind w:left="360"/>
              <w:jc w:val="both"/>
              <w:rPr>
                <w:rFonts w:ascii="Arial" w:eastAsiaTheme="minorHAnsi" w:hAnsi="Arial" w:cs="Arial"/>
                <w:color w:val="000000" w:themeColor="text1"/>
                <w:sz w:val="20"/>
                <w:szCs w:val="20"/>
              </w:rPr>
            </w:pPr>
            <w:r w:rsidRPr="00D33A29">
              <w:rPr>
                <w:rFonts w:ascii="Arial" w:eastAsiaTheme="minorHAnsi" w:hAnsi="Arial" w:cs="Arial"/>
                <w:color w:val="000000" w:themeColor="text1"/>
                <w:sz w:val="20"/>
                <w:szCs w:val="20"/>
              </w:rPr>
              <w:t>a végzettség nélküli iskolaelhagyás/lemorzsolódás csökkentéséhez,</w:t>
            </w:r>
          </w:p>
          <w:p w:rsidR="00961BD9" w:rsidRPr="00D33A29" w:rsidRDefault="00961BD9" w:rsidP="00961BD9">
            <w:pPr>
              <w:pStyle w:val="Listaszerbekezds"/>
              <w:numPr>
                <w:ilvl w:val="0"/>
                <w:numId w:val="1"/>
              </w:numPr>
              <w:spacing w:after="0" w:line="240" w:lineRule="auto"/>
              <w:ind w:left="360"/>
              <w:jc w:val="both"/>
              <w:rPr>
                <w:rFonts w:ascii="Arial" w:eastAsiaTheme="minorHAnsi" w:hAnsi="Arial" w:cs="Arial"/>
                <w:color w:val="000000" w:themeColor="text1"/>
                <w:sz w:val="20"/>
                <w:szCs w:val="20"/>
              </w:rPr>
            </w:pPr>
            <w:r w:rsidRPr="00D33A29">
              <w:rPr>
                <w:rFonts w:ascii="Arial" w:eastAsiaTheme="minorHAnsi" w:hAnsi="Arial" w:cs="Arial"/>
                <w:color w:val="000000" w:themeColor="text1"/>
                <w:sz w:val="20"/>
                <w:szCs w:val="20"/>
              </w:rPr>
              <w:t xml:space="preserve">a hozzáférhetőség területi különbségeinek csökkentéséhez és </w:t>
            </w:r>
          </w:p>
          <w:p w:rsidR="00961BD9" w:rsidRDefault="00961BD9" w:rsidP="00961BD9">
            <w:pPr>
              <w:pStyle w:val="Listaszerbekezds"/>
              <w:numPr>
                <w:ilvl w:val="0"/>
                <w:numId w:val="1"/>
              </w:numPr>
              <w:spacing w:after="0" w:line="240" w:lineRule="auto"/>
              <w:ind w:left="360"/>
              <w:jc w:val="both"/>
              <w:rPr>
                <w:rFonts w:ascii="Arial" w:eastAsiaTheme="minorHAnsi" w:hAnsi="Arial" w:cs="Arial"/>
                <w:color w:val="000000" w:themeColor="text1"/>
                <w:sz w:val="20"/>
                <w:szCs w:val="20"/>
              </w:rPr>
            </w:pPr>
            <w:r w:rsidRPr="00D33A29">
              <w:rPr>
                <w:rFonts w:ascii="Arial" w:eastAsiaTheme="minorHAnsi" w:hAnsi="Arial" w:cs="Arial"/>
                <w:color w:val="000000" w:themeColor="text1"/>
                <w:sz w:val="20"/>
                <w:szCs w:val="20"/>
              </w:rPr>
              <w:t>az iskolai alulteljesítés elkerüléséhez</w:t>
            </w:r>
            <w:r>
              <w:rPr>
                <w:rFonts w:ascii="Arial" w:eastAsiaTheme="minorHAnsi" w:hAnsi="Arial" w:cs="Arial"/>
                <w:color w:val="000000" w:themeColor="text1"/>
                <w:sz w:val="20"/>
                <w:szCs w:val="20"/>
              </w:rPr>
              <w:t>,</w:t>
            </w:r>
          </w:p>
          <w:p w:rsidR="00961BD9" w:rsidRPr="0060486D" w:rsidRDefault="00961BD9" w:rsidP="00961BD9">
            <w:pPr>
              <w:pStyle w:val="Listaszerbekezds"/>
              <w:numPr>
                <w:ilvl w:val="0"/>
                <w:numId w:val="1"/>
              </w:numPr>
              <w:spacing w:after="0" w:line="240" w:lineRule="auto"/>
              <w:ind w:left="354"/>
              <w:jc w:val="both"/>
              <w:rPr>
                <w:rFonts w:ascii="Arial" w:eastAsiaTheme="minorHAnsi" w:hAnsi="Arial" w:cs="Arial"/>
                <w:color w:val="000000" w:themeColor="text1"/>
                <w:sz w:val="20"/>
                <w:szCs w:val="20"/>
              </w:rPr>
            </w:pPr>
            <w:r w:rsidRPr="0060486D">
              <w:rPr>
                <w:rFonts w:ascii="Arial" w:eastAsiaTheme="minorHAnsi" w:hAnsi="Arial" w:cs="Arial"/>
                <w:color w:val="000000" w:themeColor="text1"/>
                <w:sz w:val="20"/>
                <w:szCs w:val="20"/>
              </w:rPr>
              <w:t xml:space="preserve">a helyi szükségletek kielégítésére irányuló, racionális és hatékony működést biztosító, korszerű nevelési, oktatási környezet </w:t>
            </w:r>
            <w:r w:rsidRPr="0060486D">
              <w:rPr>
                <w:rFonts w:ascii="Arial" w:eastAsiaTheme="minorHAnsi" w:hAnsi="Arial" w:cs="Arial"/>
                <w:color w:val="000000" w:themeColor="text1"/>
                <w:sz w:val="20"/>
                <w:szCs w:val="20"/>
              </w:rPr>
              <w:lastRenderedPageBreak/>
              <w:t>kialakításához, különösen a tanulást segítő és közösségi terek tekintetében,</w:t>
            </w:r>
          </w:p>
          <w:p w:rsidR="00961BD9" w:rsidRPr="0060486D" w:rsidRDefault="00961BD9" w:rsidP="00961BD9">
            <w:pPr>
              <w:pStyle w:val="Listaszerbekezds"/>
              <w:numPr>
                <w:ilvl w:val="0"/>
                <w:numId w:val="1"/>
              </w:numPr>
              <w:spacing w:after="0" w:line="240" w:lineRule="auto"/>
              <w:ind w:left="354"/>
              <w:jc w:val="both"/>
              <w:rPr>
                <w:rFonts w:ascii="Arial" w:eastAsiaTheme="minorHAnsi" w:hAnsi="Arial" w:cs="Arial"/>
                <w:color w:val="000000" w:themeColor="text1"/>
                <w:sz w:val="20"/>
                <w:szCs w:val="20"/>
              </w:rPr>
            </w:pPr>
            <w:r w:rsidRPr="0060486D">
              <w:rPr>
                <w:rFonts w:ascii="Arial" w:eastAsiaTheme="minorHAnsi" w:hAnsi="Arial" w:cs="Arial"/>
                <w:color w:val="000000" w:themeColor="text1"/>
                <w:sz w:val="20"/>
                <w:szCs w:val="20"/>
              </w:rPr>
              <w:t>a nevelési-oktatási intézmények működéséről és a köznevelési intézmények név használatáról szóló 20/2012 (VIII. 31.) EMMI rendelet 2. sz. melléklet szerint meghatározott kötelező helyiségek kialakításához, felújításához, valamint az Oktatási Hivatal honlapján közzétett a nevelési-oktatási intézmények kötelező (minimális) felszereléseiről szóló eszközök beszerzésének támogatásához a minőségi nevelés feltételeinek megteremtése érdekében,</w:t>
            </w:r>
          </w:p>
          <w:p w:rsidR="00961BD9" w:rsidRPr="00396A11" w:rsidRDefault="00961BD9" w:rsidP="00961BD9">
            <w:pPr>
              <w:pStyle w:val="Listaszerbekezds"/>
              <w:numPr>
                <w:ilvl w:val="0"/>
                <w:numId w:val="1"/>
              </w:numPr>
              <w:spacing w:after="0" w:line="240" w:lineRule="auto"/>
              <w:ind w:left="354"/>
              <w:jc w:val="both"/>
              <w:rPr>
                <w:rFonts w:ascii="Arial" w:eastAsiaTheme="minorHAnsi" w:hAnsi="Arial" w:cs="Arial"/>
                <w:color w:val="000000" w:themeColor="text1"/>
                <w:sz w:val="20"/>
                <w:szCs w:val="20"/>
              </w:rPr>
            </w:pPr>
            <w:r w:rsidRPr="0060486D">
              <w:rPr>
                <w:rFonts w:ascii="Arial" w:eastAsiaTheme="minorHAnsi" w:hAnsi="Arial" w:cs="Arial"/>
                <w:color w:val="000000" w:themeColor="text1"/>
                <w:sz w:val="20"/>
                <w:szCs w:val="20"/>
              </w:rPr>
              <w:t>A sajátos nevelési igényű gyermeket, tanulókat nevelő-oktató intézmények infrastrukturális fejlesztéséhez.</w:t>
            </w:r>
          </w:p>
          <w:p w:rsidR="00961BD9" w:rsidRDefault="00961BD9" w:rsidP="00C5795A">
            <w:pPr>
              <w:spacing w:after="0" w:line="240" w:lineRule="auto"/>
              <w:jc w:val="both"/>
              <w:rPr>
                <w:rFonts w:cs="Arial"/>
              </w:rPr>
            </w:pPr>
          </w:p>
          <w:p w:rsidR="00961BD9" w:rsidRPr="00396A11" w:rsidRDefault="00961BD9" w:rsidP="00C5795A">
            <w:pPr>
              <w:spacing w:after="0" w:line="240" w:lineRule="auto"/>
              <w:jc w:val="both"/>
              <w:rPr>
                <w:rFonts w:cs="Arial"/>
              </w:rPr>
            </w:pPr>
            <w:r w:rsidRPr="006048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3871A5">
              <w:rPr>
                <w:lang w:val="hu"/>
              </w:rPr>
              <w:lastRenderedPageBreak/>
              <w:t xml:space="preserve">Megfelelt / </w:t>
            </w:r>
            <w:r>
              <w:rPr>
                <w:rFonts w:eastAsia="Arial" w:cs="Arial"/>
                <w:lang w:val="hu"/>
              </w:rPr>
              <w:t xml:space="preserve">Részben megfelelt / </w:t>
            </w:r>
            <w:r w:rsidRPr="003871A5">
              <w:rPr>
                <w:lang w:val="hu"/>
              </w:rPr>
              <w:t>Nem felelt meg</w:t>
            </w:r>
          </w:p>
        </w:tc>
      </w:tr>
      <w:tr w:rsidR="00961BD9" w:rsidRPr="00D33A29" w:rsidTr="00C5795A">
        <w:trPr>
          <w:trHeight w:val="273"/>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Illeszkedés szakmapolitikai stratégiai célokhoz</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12097E" w:rsidRDefault="00961BD9" w:rsidP="00C5795A">
            <w:pPr>
              <w:spacing w:after="0" w:line="240" w:lineRule="auto"/>
              <w:jc w:val="both"/>
              <w:rPr>
                <w:rFonts w:eastAsia="Arial" w:cs="Arial"/>
                <w:lang w:val="hu"/>
              </w:rPr>
            </w:pPr>
            <w:r w:rsidRPr="0012097E">
              <w:rPr>
                <w:rFonts w:cs="Arial"/>
                <w:lang w:val="hu"/>
              </w:rPr>
              <w:t xml:space="preserve">A </w:t>
            </w:r>
            <w:r w:rsidRPr="0012097E">
              <w:rPr>
                <w:rFonts w:cs="Arial"/>
                <w:bCs/>
                <w:lang w:val="hu"/>
              </w:rPr>
              <w:t>támogatási kérelemben részletesen bemutatásra került a tervezett fejlesztés szakmapolitikai stratégiai célokhoz történő illeszkedése.</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rPr>
            </w:pPr>
            <w:r w:rsidRPr="00D33A29">
              <w:rPr>
                <w:rFonts w:cs="Arial"/>
              </w:rPr>
              <w:t xml:space="preserve">Kritérium vizsgálatát a támogatási kérelem </w:t>
            </w:r>
            <w:r>
              <w:rPr>
                <w:rFonts w:cs="Arial"/>
              </w:rPr>
              <w:t xml:space="preserve">és az adatlap </w:t>
            </w:r>
            <w:r w:rsidRPr="00D33A29">
              <w:rPr>
                <w:rFonts w:cs="Arial"/>
              </w:rPr>
              <w:t>alapján kell elvégezni.</w:t>
            </w:r>
          </w:p>
          <w:p w:rsidR="00961BD9" w:rsidRDefault="00961BD9" w:rsidP="00C5795A">
            <w:pPr>
              <w:spacing w:after="0" w:line="240" w:lineRule="auto"/>
              <w:jc w:val="both"/>
              <w:rPr>
                <w:rFonts w:cs="Arial"/>
              </w:rPr>
            </w:pPr>
          </w:p>
          <w:p w:rsidR="00961BD9" w:rsidRPr="00D33A29" w:rsidRDefault="00961BD9" w:rsidP="00C5795A">
            <w:pPr>
              <w:spacing w:after="0" w:line="240" w:lineRule="auto"/>
              <w:jc w:val="both"/>
              <w:rPr>
                <w:rFonts w:cs="Arial"/>
              </w:rPr>
            </w:pPr>
            <w:r w:rsidRPr="00D33A29">
              <w:rPr>
                <w:rFonts w:cs="Arial"/>
              </w:rPr>
              <w:t>A támogatási kérelemben bemutatásra és alátámasztásra kerül, hogy a tervezet fejlesztés hogyan járul hozzá a szakmapolitikai stratégiai célokhoz, különösen az OP-ban is szereplő releváns célokhoz:</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t>fokozza az adott intézmény eredményességét, hatékonyságát és emeli a szolgáltatás színvonalát,</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t>biztosítja a minőségi oktatáshoz, neveléshez való egyenlő hozzáférést,</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t>csökkenti a végzettség nélküli iskolaelhagyást,</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t>az alacsony teljesítményt nyújtó, elsősorban a 2014-2020 közötti infrastrukturális fejlesztésekből kimaradt, a fejlesztendő járásokban működő alap- és középfokú köznevelési intézmények (és amennyiben releváns kollégiumaik) infrastrukturális fejlesztését</w:t>
            </w:r>
            <w:r>
              <w:rPr>
                <w:rFonts w:ascii="Arial" w:hAnsi="Arial" w:cs="Arial"/>
                <w:sz w:val="20"/>
                <w:szCs w:val="20"/>
              </w:rPr>
              <w:t xml:space="preserve"> valósítja meg</w:t>
            </w:r>
            <w:r w:rsidRPr="00D33A29">
              <w:rPr>
                <w:rFonts w:ascii="Arial" w:hAnsi="Arial" w:cs="Arial"/>
                <w:sz w:val="20"/>
                <w:szCs w:val="20"/>
              </w:rPr>
              <w:t>,</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lastRenderedPageBreak/>
              <w:t>biztosítja a többi gyerekkel együtt nevelhető SNI gyermekeket, tanulókat integráltan nevelő-oktató intézmények és</w:t>
            </w:r>
            <w:r>
              <w:rPr>
                <w:rFonts w:ascii="Arial" w:hAnsi="Arial" w:cs="Arial"/>
                <w:sz w:val="20"/>
                <w:szCs w:val="20"/>
              </w:rPr>
              <w:t>/vagy</w:t>
            </w:r>
            <w:r w:rsidRPr="00D33A29">
              <w:rPr>
                <w:rFonts w:ascii="Arial" w:hAnsi="Arial" w:cs="Arial"/>
                <w:sz w:val="20"/>
                <w:szCs w:val="20"/>
              </w:rPr>
              <w:t xml:space="preserve"> a többi gyermekkel együtt nem nevelhető kizárólag SNI gyermekeket tanulókat nevelő-oktató intézmények infrastrukturális fejlesztését,</w:t>
            </w:r>
          </w:p>
          <w:p w:rsidR="00961BD9" w:rsidRPr="00D33A29" w:rsidRDefault="00961BD9" w:rsidP="00961BD9">
            <w:pPr>
              <w:pStyle w:val="Listaszerbekezds"/>
              <w:numPr>
                <w:ilvl w:val="0"/>
                <w:numId w:val="1"/>
              </w:numPr>
              <w:spacing w:after="0" w:line="240" w:lineRule="auto"/>
              <w:ind w:left="360"/>
              <w:jc w:val="both"/>
              <w:rPr>
                <w:rFonts w:ascii="Arial" w:hAnsi="Arial" w:cs="Arial"/>
                <w:sz w:val="20"/>
                <w:szCs w:val="20"/>
              </w:rPr>
            </w:pPr>
            <w:r w:rsidRPr="00D33A29">
              <w:rPr>
                <w:rFonts w:ascii="Arial" w:hAnsi="Arial" w:cs="Arial"/>
                <w:sz w:val="20"/>
                <w:szCs w:val="20"/>
              </w:rPr>
              <w:t>biztosítja a minőségi szolgáltatásokhoz való – kirekesztés nélküli – hozzáférést.</w:t>
            </w:r>
          </w:p>
          <w:p w:rsidR="00961BD9" w:rsidRPr="00D33A29" w:rsidRDefault="00961BD9" w:rsidP="00C5795A">
            <w:pPr>
              <w:spacing w:after="0" w:line="240" w:lineRule="auto"/>
              <w:jc w:val="both"/>
              <w:rPr>
                <w:rFonts w:cs="Arial"/>
              </w:rPr>
            </w:pPr>
            <w:r w:rsidRPr="00D33A29">
              <w:rPr>
                <w:rFonts w:cs="Arial"/>
              </w:rPr>
              <w:t>Illeszkedés vizsgálata különös tekintettel az alábbi dokumentumokhoz/célokhoz:</w:t>
            </w:r>
          </w:p>
          <w:p w:rsidR="00961BD9" w:rsidRPr="00D33A29" w:rsidRDefault="00961BD9" w:rsidP="00961BD9">
            <w:pPr>
              <w:pStyle w:val="Listaszerbekezds"/>
              <w:numPr>
                <w:ilvl w:val="0"/>
                <w:numId w:val="4"/>
              </w:numPr>
              <w:spacing w:after="0" w:line="240" w:lineRule="auto"/>
              <w:jc w:val="both"/>
              <w:rPr>
                <w:rFonts w:ascii="Arial" w:hAnsi="Arial" w:cs="Arial"/>
                <w:sz w:val="20"/>
                <w:szCs w:val="20"/>
              </w:rPr>
            </w:pPr>
            <w:r w:rsidRPr="00D33A29">
              <w:rPr>
                <w:rFonts w:ascii="Arial" w:hAnsi="Arial" w:cs="Arial"/>
                <w:sz w:val="20"/>
                <w:szCs w:val="20"/>
              </w:rPr>
              <w:t>az Európai Unió számára készített köznevelési stratégia 2021-2030</w:t>
            </w:r>
          </w:p>
          <w:p w:rsidR="00961BD9" w:rsidRPr="00D33A29" w:rsidRDefault="00961BD9" w:rsidP="00961BD9">
            <w:pPr>
              <w:pStyle w:val="Listaszerbekezds"/>
              <w:numPr>
                <w:ilvl w:val="0"/>
                <w:numId w:val="4"/>
              </w:numPr>
              <w:spacing w:after="0" w:line="240" w:lineRule="auto"/>
              <w:jc w:val="both"/>
              <w:rPr>
                <w:rFonts w:ascii="Arial" w:hAnsi="Arial" w:cs="Arial"/>
                <w:sz w:val="20"/>
                <w:szCs w:val="20"/>
              </w:rPr>
            </w:pPr>
            <w:r w:rsidRPr="00D33A29">
              <w:rPr>
                <w:rFonts w:ascii="Arial" w:hAnsi="Arial" w:cs="Arial"/>
                <w:sz w:val="20"/>
                <w:szCs w:val="20"/>
              </w:rPr>
              <w:t>Magyar Nemzeti Társadalmi Felzárkózási Stratégia 2030</w:t>
            </w:r>
          </w:p>
          <w:p w:rsidR="00961BD9" w:rsidRPr="0060486D" w:rsidRDefault="00961BD9" w:rsidP="00961BD9">
            <w:pPr>
              <w:pStyle w:val="Listaszerbekezds"/>
              <w:numPr>
                <w:ilvl w:val="0"/>
                <w:numId w:val="4"/>
              </w:numPr>
              <w:spacing w:after="0" w:line="240" w:lineRule="auto"/>
              <w:jc w:val="both"/>
              <w:rPr>
                <w:rFonts w:ascii="Arial" w:eastAsiaTheme="minorHAnsi" w:hAnsi="Arial" w:cs="Arial"/>
                <w:sz w:val="20"/>
                <w:szCs w:val="20"/>
              </w:rPr>
            </w:pPr>
            <w:r w:rsidRPr="00D33A29">
              <w:rPr>
                <w:rFonts w:ascii="Arial" w:hAnsi="Arial" w:cs="Arial"/>
                <w:sz w:val="20"/>
                <w:szCs w:val="20"/>
              </w:rPr>
              <w:t>Nemzeti Fejlesztés - 2030 Országos Fejlesztési és Területfejlesztési Koncepció</w:t>
            </w:r>
          </w:p>
          <w:p w:rsidR="00961BD9" w:rsidRDefault="00961BD9" w:rsidP="00C5795A">
            <w:pPr>
              <w:spacing w:after="0" w:line="240" w:lineRule="auto"/>
              <w:jc w:val="both"/>
              <w:rPr>
                <w:rFonts w:cs="Arial"/>
              </w:rPr>
            </w:pPr>
          </w:p>
          <w:p w:rsidR="00961BD9" w:rsidRPr="00396A11" w:rsidRDefault="00961BD9" w:rsidP="00C5795A">
            <w:pPr>
              <w:spacing w:after="0" w:line="240" w:lineRule="auto"/>
              <w:jc w:val="both"/>
              <w:rPr>
                <w:rFonts w:cs="Arial"/>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3871A5">
              <w:rPr>
                <w:lang w:val="hu"/>
              </w:rPr>
              <w:lastRenderedPageBreak/>
              <w:t xml:space="preserve">Megfelelt / </w:t>
            </w:r>
            <w:r>
              <w:rPr>
                <w:rFonts w:eastAsia="Arial" w:cs="Arial"/>
                <w:lang w:val="hu"/>
              </w:rPr>
              <w:t xml:space="preserve">Részben megfelelt / </w:t>
            </w:r>
            <w:r w:rsidRPr="003871A5">
              <w:rPr>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Jogszabályi környezet</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EA655F" w:rsidRDefault="00961BD9" w:rsidP="00C5795A">
            <w:pPr>
              <w:spacing w:after="0" w:line="240" w:lineRule="auto"/>
              <w:jc w:val="both"/>
              <w:rPr>
                <w:rFonts w:eastAsia="Arial" w:cs="Arial"/>
                <w:lang w:val="hu"/>
              </w:rPr>
            </w:pPr>
            <w:r w:rsidRPr="00EA655F">
              <w:rPr>
                <w:rFonts w:eastAsia="Arial" w:cs="Arial"/>
                <w:lang w:val="hu"/>
              </w:rPr>
              <w:t>Bemutatásra került a fejlesztés jogszabályi környezet</w:t>
            </w:r>
            <w:r>
              <w:rPr>
                <w:rFonts w:eastAsia="Arial" w:cs="Arial"/>
                <w:lang w:val="hu"/>
              </w:rPr>
              <w:t>e</w:t>
            </w:r>
            <w:r w:rsidRPr="00EA655F">
              <w:rPr>
                <w:rFonts w:eastAsia="Arial" w:cs="Arial"/>
                <w:lang w:val="hu"/>
              </w:rPr>
              <w:t>.</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rPr>
            </w:pPr>
            <w:r w:rsidRPr="00D33A29">
              <w:rPr>
                <w:rFonts w:cs="Arial"/>
              </w:rPr>
              <w:t xml:space="preserve">Kritérium vizsgálatát a támogatási kérelem </w:t>
            </w:r>
            <w:r>
              <w:rPr>
                <w:rFonts w:cs="Arial"/>
              </w:rPr>
              <w:t xml:space="preserve">és az adatlap </w:t>
            </w:r>
            <w:r w:rsidRPr="00D33A29">
              <w:rPr>
                <w:rFonts w:cs="Arial"/>
              </w:rPr>
              <w:t>alapján kell elvégezni.</w:t>
            </w:r>
          </w:p>
          <w:p w:rsidR="00961BD9" w:rsidRDefault="00961BD9" w:rsidP="00C5795A">
            <w:pPr>
              <w:spacing w:after="0" w:line="240" w:lineRule="auto"/>
              <w:jc w:val="both"/>
              <w:rPr>
                <w:rFonts w:cs="Arial"/>
              </w:rPr>
            </w:pPr>
          </w:p>
          <w:p w:rsidR="00961BD9" w:rsidRPr="00D33A29" w:rsidRDefault="00961BD9" w:rsidP="00C5795A">
            <w:pPr>
              <w:spacing w:after="0" w:line="240" w:lineRule="auto"/>
              <w:jc w:val="both"/>
              <w:rPr>
                <w:rFonts w:cs="Arial"/>
              </w:rPr>
            </w:pPr>
            <w:r w:rsidRPr="00D33A29">
              <w:rPr>
                <w:rFonts w:eastAsia="Calibri" w:cs="Arial"/>
              </w:rPr>
              <w:t xml:space="preserve">A felhívások egyedi, alapvető szakmai-műszaki elvárásainak való megfelelés vizsgálata, melynek során a vonatkozó szabványoknak és jogszabályi előírásoknak való megfelelés is ellenőrzésre kerül, </w:t>
            </w:r>
            <w:r w:rsidRPr="00D33A29">
              <w:rPr>
                <w:rFonts w:cs="Arial"/>
              </w:rPr>
              <w:t>különös tekintettel az alábbi dokumentumokra:</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1997. évi XXXI. törvény a gyermekek védelméről és a gyámügyi igazgatásról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2003. évi CXXV. törvény az egyenlő bánásmódról és az esélyegyenlőség előmozdításáról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2011. évi CXC. törvény a nemzeti köznevelésről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253/1997. (XII. 20.) Korm. rendelet az országos településrendezési és építési követelményekről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20/2012.(VIII. 31.) EMMI rendelet a nevelési-oktatási intézmények működéséről és a köznevelési intézmények névhasználatáról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lastRenderedPageBreak/>
              <w:t>15/2013. (II. 26.) EMMI rendelet a pedagógiai szakszolgálati intézmények működéséről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78/2003. (XI. 27.) GKM rendelet a játszótéri eszközök biztonságosságáról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256/2021. (V. 18.) Korm. rendelet a 2021–2027 programozási időszakban az egyes európai uniós alapokból származó támogatások felhasználásának rendjéről</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MSZE 24203-6:2012 Magyar nyelvű! Oktatási intézmények tervezési előírásai. 6. rész: Kollégiumok, diákotthonok</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MSZE 24203-5:2012 Magyar nyelvű! Oktatási intézmények tervezési előírásai. 5. rész: Gyógypedagógiai, konduktív pedagógiai nevelési-oktatási intézmények</w:t>
            </w:r>
          </w:p>
          <w:p w:rsidR="00961BD9" w:rsidRPr="00EA655F"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MSZE 24203-3:2012 Magyar nyelvű! Oktatási intézmények tervezési előírásai. 3. rész: Középfokú oktatási intézmények</w:t>
            </w:r>
          </w:p>
          <w:p w:rsidR="00961BD9" w:rsidRDefault="00961BD9" w:rsidP="00961BD9">
            <w:pPr>
              <w:pStyle w:val="Listaszerbekezds"/>
              <w:numPr>
                <w:ilvl w:val="0"/>
                <w:numId w:val="4"/>
              </w:numPr>
              <w:spacing w:after="0" w:line="240" w:lineRule="auto"/>
              <w:jc w:val="both"/>
              <w:rPr>
                <w:rFonts w:ascii="Arial" w:hAnsi="Arial" w:cs="Arial"/>
                <w:sz w:val="20"/>
                <w:szCs w:val="20"/>
              </w:rPr>
            </w:pPr>
            <w:r w:rsidRPr="00EA655F">
              <w:rPr>
                <w:rFonts w:ascii="Arial" w:hAnsi="Arial" w:cs="Arial"/>
                <w:sz w:val="20"/>
                <w:szCs w:val="20"/>
              </w:rPr>
              <w:t>MSZE 24203-2:2012 Magyar nyelvű! Oktatási intézmények tervezési előírásai. 2. rész: Általános iskolák.</w:t>
            </w:r>
          </w:p>
          <w:p w:rsidR="00961BD9" w:rsidRDefault="00961BD9" w:rsidP="00C5795A">
            <w:pPr>
              <w:spacing w:after="0" w:line="240" w:lineRule="auto"/>
              <w:jc w:val="both"/>
              <w:rPr>
                <w:rFonts w:cs="Arial"/>
              </w:rPr>
            </w:pPr>
          </w:p>
          <w:p w:rsidR="00961BD9" w:rsidRPr="00396A11" w:rsidRDefault="00961BD9" w:rsidP="00C5795A">
            <w:pPr>
              <w:spacing w:after="0" w:line="240" w:lineRule="auto"/>
              <w:jc w:val="both"/>
              <w:rPr>
                <w:rFonts w:cs="Arial"/>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3871A5">
              <w:rPr>
                <w:lang w:val="hu"/>
              </w:rPr>
              <w:lastRenderedPageBreak/>
              <w:t>Megfelelt / Részben megfelelt</w:t>
            </w:r>
            <w:r>
              <w:rPr>
                <w:rFonts w:eastAsia="Arial" w:cs="Arial"/>
                <w:lang w:val="hu"/>
              </w:rPr>
              <w:t xml:space="preserve">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cs="Arial"/>
                <w:lang w:val="hu"/>
              </w:rPr>
              <w:t>A tervezett fejlesztés indokoltságát, szükségességét helyzetelemzés támasztja alá</w:t>
            </w:r>
            <w:r>
              <w:rPr>
                <w:rFonts w:cs="Arial"/>
                <w:lang w:val="hu"/>
              </w:rPr>
              <w:t>.</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eastAsia="Arial" w:cs="Arial"/>
                <w:lang w:val="hu"/>
              </w:rPr>
            </w:pPr>
            <w:r w:rsidRPr="00D33A29">
              <w:rPr>
                <w:rFonts w:eastAsia="Arial" w:cs="Arial"/>
                <w:lang w:val="hu"/>
              </w:rPr>
              <w:t xml:space="preserve">A helyzetelemzés alátámasztja a tervezett fejlesztés indokoltságát, szükségességét. </w:t>
            </w:r>
          </w:p>
          <w:p w:rsidR="00961BD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A </w:t>
            </w:r>
            <w:r>
              <w:rPr>
                <w:rFonts w:eastAsia="Arial" w:cs="Arial"/>
                <w:lang w:val="hu"/>
              </w:rPr>
              <w:t xml:space="preserve">támogatási kérelemben </w:t>
            </w:r>
            <w:r w:rsidRPr="00D33A29">
              <w:rPr>
                <w:rFonts w:eastAsia="Arial" w:cs="Arial"/>
                <w:lang w:val="hu"/>
              </w:rPr>
              <w:t>bemutatásra és alátámasztásra kerül a tervezet</w:t>
            </w:r>
            <w:r>
              <w:rPr>
                <w:rFonts w:eastAsia="Arial" w:cs="Arial"/>
                <w:lang w:val="hu"/>
              </w:rPr>
              <w:t>t</w:t>
            </w:r>
            <w:r w:rsidRPr="00D33A29">
              <w:rPr>
                <w:rFonts w:eastAsia="Arial" w:cs="Arial"/>
                <w:lang w:val="hu"/>
              </w:rPr>
              <w:t xml:space="preserve"> fejlesztés helyi igényekre, szükségletekre, adottságokra épülése, valamint a helyi érintett szervezetek, személyek bevonása</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B31588" w:rsidRDefault="00961BD9" w:rsidP="00C5795A">
            <w:pPr>
              <w:spacing w:after="0" w:line="240" w:lineRule="auto"/>
              <w:jc w:val="both"/>
              <w:rPr>
                <w:rFonts w:cs="Arial"/>
              </w:rPr>
            </w:pPr>
            <w:r w:rsidRPr="00B31588">
              <w:rPr>
                <w:rFonts w:cs="Arial"/>
              </w:rPr>
              <w:t>Kritérium vizsgálatát a támogatási kérelem és az adatlap alapján kell elvégezni.</w:t>
            </w:r>
          </w:p>
          <w:p w:rsidR="00961BD9" w:rsidRPr="00B31588" w:rsidRDefault="00961BD9" w:rsidP="00C5795A">
            <w:pPr>
              <w:spacing w:after="0" w:line="240" w:lineRule="auto"/>
              <w:jc w:val="both"/>
              <w:rPr>
                <w:rFonts w:cs="Arial"/>
              </w:rPr>
            </w:pPr>
          </w:p>
          <w:p w:rsidR="00961BD9" w:rsidRPr="005C6651" w:rsidRDefault="00961BD9" w:rsidP="00C5795A">
            <w:pPr>
              <w:spacing w:after="0" w:line="240" w:lineRule="auto"/>
              <w:jc w:val="both"/>
              <w:rPr>
                <w:rFonts w:cs="Arial"/>
              </w:rPr>
            </w:pPr>
            <w:r w:rsidRPr="005C6651">
              <w:rPr>
                <w:rFonts w:cs="Arial"/>
              </w:rPr>
              <w:t xml:space="preserve">Az azonosított fejlesztési </w:t>
            </w:r>
            <w:proofErr w:type="gramStart"/>
            <w:r w:rsidRPr="005C6651">
              <w:rPr>
                <w:rFonts w:cs="Arial"/>
              </w:rPr>
              <w:t>igény(</w:t>
            </w:r>
            <w:proofErr w:type="spellStart"/>
            <w:proofErr w:type="gramEnd"/>
            <w:r w:rsidRPr="005C6651">
              <w:rPr>
                <w:rFonts w:cs="Arial"/>
              </w:rPr>
              <w:t>ek</w:t>
            </w:r>
            <w:proofErr w:type="spellEnd"/>
            <w:r w:rsidRPr="005C6651">
              <w:rPr>
                <w:rFonts w:cs="Arial"/>
              </w:rPr>
              <w:t>)re vonatkozóan szakmailag több megoldási alternatíva is bemutatásra került azok előnyeivel és hátrányaival együtt, valamint a kiválasztott fejlesztési javaslat indoklása megtörtént.</w:t>
            </w:r>
          </w:p>
          <w:p w:rsidR="00961BD9" w:rsidRPr="00B31588" w:rsidRDefault="00961BD9" w:rsidP="00C5795A">
            <w:pPr>
              <w:spacing w:after="0" w:line="240" w:lineRule="auto"/>
              <w:jc w:val="both"/>
              <w:rPr>
                <w:rFonts w:cs="Arial"/>
              </w:rPr>
            </w:pPr>
          </w:p>
          <w:p w:rsidR="00961BD9" w:rsidRPr="00B31588" w:rsidRDefault="00961BD9" w:rsidP="00C5795A">
            <w:pPr>
              <w:spacing w:after="0" w:line="240" w:lineRule="auto"/>
              <w:jc w:val="both"/>
              <w:rPr>
                <w:rFonts w:cs="Arial"/>
              </w:rPr>
            </w:pPr>
            <w:r w:rsidRPr="00B31588">
              <w:rPr>
                <w:rFonts w:cs="Arial"/>
              </w:rPr>
              <w:t>Részletesen bemutatásra kerül az infrastruktúra igény/szükséglet és biztosításának módja, különösen</w:t>
            </w:r>
          </w:p>
          <w:p w:rsidR="00961BD9" w:rsidRDefault="00961BD9" w:rsidP="00961BD9">
            <w:pPr>
              <w:pStyle w:val="Listaszerbekezds"/>
              <w:numPr>
                <w:ilvl w:val="0"/>
                <w:numId w:val="4"/>
              </w:numPr>
              <w:spacing w:after="0" w:line="240" w:lineRule="auto"/>
              <w:jc w:val="both"/>
              <w:rPr>
                <w:rFonts w:ascii="Arial" w:hAnsi="Arial" w:cs="Arial"/>
                <w:sz w:val="20"/>
                <w:szCs w:val="20"/>
              </w:rPr>
            </w:pPr>
            <w:r>
              <w:rPr>
                <w:rFonts w:ascii="Arial" w:hAnsi="Arial" w:cs="Arial"/>
                <w:sz w:val="20"/>
                <w:szCs w:val="20"/>
              </w:rPr>
              <w:t xml:space="preserve">fejlesztéssel érintett </w:t>
            </w:r>
            <w:proofErr w:type="spellStart"/>
            <w:r>
              <w:rPr>
                <w:rFonts w:ascii="Arial" w:hAnsi="Arial" w:cs="Arial"/>
                <w:sz w:val="20"/>
                <w:szCs w:val="20"/>
              </w:rPr>
              <w:t>feladatellátási</w:t>
            </w:r>
            <w:proofErr w:type="spellEnd"/>
            <w:r>
              <w:rPr>
                <w:rFonts w:ascii="Arial" w:hAnsi="Arial" w:cs="Arial"/>
                <w:sz w:val="20"/>
                <w:szCs w:val="20"/>
              </w:rPr>
              <w:t xml:space="preserve"> hely aktuális infrastruktúrája,</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 xml:space="preserve">a problémák, hiányok, fejlesztési igények, amelyekre válaszol a tervezett fejlesztés, </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lastRenderedPageBreak/>
              <w:t>a teljes költséget és a hatásokat összevetve, hogy miért az adott műszaki megoldás került kiválasztásra,</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azt milyen kiválasztási logika, további vizsgálat előzte meg,</w:t>
            </w:r>
          </w:p>
          <w:p w:rsidR="00961BD9"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milyen partnerekkel milyen egyeztetésekre került sor az előkészítés során (pl. önkormányzat</w:t>
            </w:r>
            <w:r>
              <w:rPr>
                <w:rFonts w:ascii="Arial" w:hAnsi="Arial" w:cs="Arial"/>
                <w:sz w:val="20"/>
                <w:szCs w:val="20"/>
              </w:rPr>
              <w:t>, civilek, szülők, diákok)</w:t>
            </w:r>
            <w:r w:rsidRPr="00B31588">
              <w:rPr>
                <w:rFonts w:ascii="Arial" w:hAnsi="Arial" w:cs="Arial"/>
                <w:sz w:val="20"/>
                <w:szCs w:val="20"/>
              </w:rPr>
              <w:t>.</w:t>
            </w:r>
          </w:p>
          <w:p w:rsidR="00961BD9" w:rsidRDefault="00961BD9" w:rsidP="00C5795A">
            <w:pPr>
              <w:spacing w:after="0" w:line="240" w:lineRule="auto"/>
              <w:jc w:val="both"/>
              <w:rPr>
                <w:rFonts w:cs="Arial"/>
              </w:rPr>
            </w:pPr>
          </w:p>
          <w:p w:rsidR="00961BD9" w:rsidRPr="00396A11" w:rsidRDefault="00961BD9" w:rsidP="00C5795A">
            <w:pPr>
              <w:spacing w:after="0" w:line="240" w:lineRule="auto"/>
              <w:jc w:val="both"/>
              <w:rPr>
                <w:rFonts w:cs="Arial"/>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 xml:space="preserve"> </w:t>
            </w:r>
            <w:r w:rsidRPr="003871A5">
              <w:rPr>
                <w:lang w:val="hu"/>
              </w:rPr>
              <w:t xml:space="preserve">Megfelelt / </w:t>
            </w:r>
            <w:r>
              <w:rPr>
                <w:rFonts w:eastAsia="Arial" w:cs="Arial"/>
                <w:lang w:val="hu"/>
              </w:rPr>
              <w:t xml:space="preserve">Részben megfelelt / </w:t>
            </w:r>
            <w:r w:rsidRPr="003871A5">
              <w:rPr>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132C86" w:rsidRDefault="00961BD9" w:rsidP="00C5795A">
            <w:pPr>
              <w:spacing w:after="0" w:line="240" w:lineRule="auto"/>
              <w:jc w:val="both"/>
              <w:rPr>
                <w:rFonts w:eastAsia="Arial" w:cs="Arial"/>
                <w:bCs/>
                <w:lang w:val="hu"/>
              </w:rPr>
            </w:pPr>
            <w:r w:rsidRPr="00132C86">
              <w:rPr>
                <w:rFonts w:eastAsia="Arial" w:cs="Arial"/>
                <w:bCs/>
                <w:lang w:val="hu"/>
              </w:rPr>
              <w:t xml:space="preserve">A felhívásban foglalt támogatási feltételeknek való megfelelés  </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A12E3D" w:rsidRDefault="00961BD9" w:rsidP="00C5795A">
            <w:pPr>
              <w:spacing w:after="0" w:line="240" w:lineRule="auto"/>
              <w:jc w:val="both"/>
              <w:rPr>
                <w:rFonts w:eastAsia="Arial" w:cs="Arial"/>
                <w:bCs/>
                <w:lang w:val="hu"/>
              </w:rPr>
            </w:pPr>
            <w:r w:rsidRPr="00A12E3D">
              <w:rPr>
                <w:rFonts w:eastAsia="Arial" w:cs="Arial"/>
                <w:bCs/>
                <w:lang w:val="hu"/>
              </w:rPr>
              <w:t>A támogatási kérelem tartalma az OP alapján támogatható.</w:t>
            </w:r>
          </w:p>
          <w:p w:rsidR="00961BD9" w:rsidRPr="00A12E3D" w:rsidRDefault="00961BD9" w:rsidP="00C5795A">
            <w:pPr>
              <w:spacing w:after="0" w:line="240" w:lineRule="auto"/>
              <w:jc w:val="both"/>
              <w:rPr>
                <w:rFonts w:eastAsia="Arial" w:cs="Arial"/>
                <w:bCs/>
                <w:lang w:val="hu"/>
              </w:rPr>
            </w:pPr>
          </w:p>
          <w:p w:rsidR="00961BD9" w:rsidRPr="00A12E3D" w:rsidRDefault="00961BD9" w:rsidP="00C5795A">
            <w:pPr>
              <w:spacing w:after="0" w:line="240" w:lineRule="auto"/>
              <w:jc w:val="both"/>
              <w:rPr>
                <w:rFonts w:eastAsia="Arial" w:cs="Arial"/>
                <w:bCs/>
                <w:lang w:val="hu"/>
              </w:rPr>
            </w:pPr>
            <w:r w:rsidRPr="00A12E3D">
              <w:rPr>
                <w:rFonts w:eastAsia="Arial" w:cs="Arial"/>
                <w:bCs/>
                <w:lang w:val="hu"/>
              </w:rPr>
              <w:t>A. Az állami fenntartású köznevelési intézmények</w:t>
            </w:r>
            <w:r w:rsidRPr="003871A5">
              <w:t xml:space="preserve"> </w:t>
            </w:r>
            <w:r w:rsidRPr="00A12E3D">
              <w:rPr>
                <w:rFonts w:eastAsia="Arial" w:cs="Arial"/>
                <w:bCs/>
                <w:lang w:val="hu"/>
              </w:rPr>
              <w:t>és B. Nem állami fenntartású köznevelési intézmények</w:t>
            </w:r>
            <w:r w:rsidRPr="003871A5">
              <w:t xml:space="preserve"> </w:t>
            </w:r>
            <w:r w:rsidRPr="00A12E3D">
              <w:rPr>
                <w:rFonts w:eastAsia="Arial" w:cs="Arial"/>
                <w:bCs/>
                <w:lang w:val="hu"/>
              </w:rPr>
              <w:t xml:space="preserve">esetében a köznevelési intézmények felújítása, korszerűsítése, átalakítása, bővítése, többfunkcióssá tétele, műszaki színvonalának emelése és kapcsolódó eszközbeszerzés támogatható önállóan. </w:t>
            </w:r>
          </w:p>
          <w:p w:rsidR="00961BD9" w:rsidRPr="00A12E3D" w:rsidRDefault="00961BD9" w:rsidP="00C5795A">
            <w:pPr>
              <w:spacing w:after="0" w:line="240" w:lineRule="auto"/>
              <w:jc w:val="both"/>
              <w:rPr>
                <w:lang w:val="hu"/>
              </w:rPr>
            </w:pPr>
            <w:r w:rsidRPr="00A12E3D">
              <w:rPr>
                <w:rFonts w:eastAsia="Arial" w:cs="Arial"/>
                <w:bCs/>
                <w:lang w:val="hu"/>
              </w:rPr>
              <w:t>C. A sajátos nevelési igényű gyermekeket, tanulókat nevelő-oktató intézmények és a pedagógiai szakszolgálati feladatokat ellátó köznevelési intézmények esetén a fentieken túl továbbá engedélyezett új épületrészek létrehozása, funkciónélküli épületek / épületrészek nevelési-oktatási, illetve pedagógiai szakszolgálati célnak megfelelő átalakítása.</w:t>
            </w:r>
          </w:p>
          <w:p w:rsidR="00961BD9" w:rsidRPr="00A12E3D" w:rsidRDefault="00961BD9" w:rsidP="00C5795A">
            <w:pPr>
              <w:spacing w:after="0" w:line="240" w:lineRule="auto"/>
              <w:jc w:val="both"/>
              <w:rPr>
                <w:lang w:val="hu"/>
              </w:rPr>
            </w:pPr>
          </w:p>
          <w:p w:rsidR="00961BD9" w:rsidRPr="00A12E3D" w:rsidRDefault="00961BD9" w:rsidP="00C5795A">
            <w:pPr>
              <w:spacing w:after="0" w:line="240" w:lineRule="auto"/>
              <w:jc w:val="both"/>
              <w:rPr>
                <w:lang w:val="hu"/>
              </w:rPr>
            </w:pPr>
            <w:r w:rsidRPr="00A12E3D">
              <w:rPr>
                <w:lang w:val="hu"/>
              </w:rPr>
              <w:t>Kötelezően megvalósítandó, önállóan nem támogatható az akadálymentesítés, energiahatékonysági szempontok érvényesítése, nyilvánosság biztosítása és amennyiben releváns az azbesztmentesítés.</w:t>
            </w:r>
          </w:p>
          <w:p w:rsidR="00961BD9" w:rsidRPr="00A12E3D" w:rsidRDefault="00961BD9" w:rsidP="00C5795A">
            <w:pPr>
              <w:spacing w:after="0" w:line="240" w:lineRule="auto"/>
              <w:jc w:val="both"/>
              <w:rPr>
                <w:lang w:val="hu"/>
              </w:rPr>
            </w:pPr>
          </w:p>
          <w:p w:rsidR="00961BD9" w:rsidRPr="00A12E3D" w:rsidRDefault="00961BD9" w:rsidP="00C5795A">
            <w:pPr>
              <w:spacing w:after="0" w:line="240" w:lineRule="auto"/>
              <w:jc w:val="both"/>
              <w:rPr>
                <w:lang w:val="hu"/>
              </w:rPr>
            </w:pPr>
            <w:r w:rsidRPr="00A12E3D">
              <w:rPr>
                <w:lang w:val="hu"/>
              </w:rPr>
              <w:lastRenderedPageBreak/>
              <w:t>Választható, önállóan nem támogatható tevékenység többek között a köznevelési intézmények nem kiegészítő, nem közvetlenül nevelési-oktatási tevékenységet szolgáló helyiségeinek kialakítása, fejlesztése.</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D33A29" w:rsidRDefault="00961BD9" w:rsidP="00C5795A">
            <w:pPr>
              <w:spacing w:after="0" w:line="240" w:lineRule="auto"/>
              <w:jc w:val="both"/>
              <w:rPr>
                <w:rFonts w:eastAsia="Arial" w:cs="Arial"/>
                <w:lang w:val="hu"/>
              </w:rPr>
            </w:pPr>
            <w:r w:rsidRPr="00B31588">
              <w:rPr>
                <w:rFonts w:cs="Arial"/>
              </w:rPr>
              <w:lastRenderedPageBreak/>
              <w:t>Kritérium vizsgálatát a támogatási kérelem és az adatlap alapján kell elvégezni</w:t>
            </w:r>
            <w:r w:rsidRPr="00D33A29">
              <w:rPr>
                <w:rFonts w:eastAsia="Arial" w:cs="Arial"/>
                <w:lang w:val="hu"/>
              </w:rPr>
              <w:t xml:space="preserve">, amelyben a bemutatott tevékenységek és az OP alapján a felhívásban meghatározott támogatható tevékenységek összevetése szükséges. </w:t>
            </w:r>
          </w:p>
          <w:p w:rsidR="00961BD9" w:rsidRPr="00AA4168" w:rsidRDefault="00961BD9" w:rsidP="00C5795A">
            <w:pPr>
              <w:spacing w:after="0" w:line="240" w:lineRule="auto"/>
              <w:jc w:val="both"/>
              <w:rPr>
                <w:rFonts w:eastAsia="Arial" w:cs="Arial"/>
                <w:lang w:val="hu"/>
              </w:rPr>
            </w:pPr>
          </w:p>
          <w:p w:rsidR="00961BD9" w:rsidRPr="003871A5" w:rsidRDefault="00961BD9" w:rsidP="00C5795A">
            <w:pPr>
              <w:spacing w:after="0" w:line="240" w:lineRule="auto"/>
              <w:jc w:val="both"/>
              <w:rPr>
                <w:highlight w:val="yellow"/>
                <w:lang w:val="hu"/>
              </w:rPr>
            </w:pPr>
            <w:r w:rsidRPr="00AA4168">
              <w:rPr>
                <w:rFonts w:eastAsia="Arial" w:cs="Arial"/>
                <w:lang w:val="hu"/>
              </w:rPr>
              <w:t>A nem támogatható tevékenységekre nem ítélhető meg támogatás.</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3871A5">
              <w:rPr>
                <w:lang w:val="hu"/>
              </w:rPr>
              <w:t xml:space="preserve">Megfelelt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132C86" w:rsidRDefault="00961BD9" w:rsidP="00C5795A">
            <w:pPr>
              <w:spacing w:after="0" w:line="240" w:lineRule="auto"/>
              <w:jc w:val="both"/>
              <w:rPr>
                <w:rFonts w:eastAsia="Arial" w:cs="Arial"/>
                <w:bCs/>
                <w:lang w:val="hu"/>
              </w:rPr>
            </w:pPr>
            <w:r w:rsidRPr="00132C86">
              <w:rPr>
                <w:rFonts w:eastAsia="Arial" w:cs="Arial"/>
                <w:bCs/>
                <w:lang w:val="hu"/>
              </w:rPr>
              <w:t>A műszaki-szakmai elvárásoknak való megfelelés a felhívás alapján</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lang w:val="hu"/>
              </w:rPr>
            </w:pPr>
            <w:r w:rsidRPr="00132C86">
              <w:rPr>
                <w:rFonts w:cs="Arial"/>
                <w:bCs/>
                <w:lang w:val="hu"/>
              </w:rPr>
              <w:t>A projekt tervezett tevékenységei megfelelnek a Felhívásban foglalt műszaki-szakmai elvárásoknak</w:t>
            </w:r>
            <w:r w:rsidRPr="00EA655F">
              <w:rPr>
                <w:rFonts w:cs="Arial"/>
                <w:lang w:val="hu"/>
              </w:rPr>
              <w:t xml:space="preserve">. </w:t>
            </w:r>
          </w:p>
          <w:p w:rsidR="00961BD9" w:rsidRDefault="00961BD9" w:rsidP="00C5795A">
            <w:pPr>
              <w:spacing w:after="0" w:line="240" w:lineRule="auto"/>
              <w:jc w:val="both"/>
              <w:rPr>
                <w:rFonts w:cs="Arial"/>
                <w:lang w:val="hu"/>
              </w:rPr>
            </w:pPr>
          </w:p>
          <w:p w:rsidR="00961BD9" w:rsidRPr="00A5341E" w:rsidRDefault="00961BD9" w:rsidP="00C5795A">
            <w:pPr>
              <w:spacing w:after="0" w:line="240" w:lineRule="auto"/>
              <w:jc w:val="both"/>
              <w:rPr>
                <w:rFonts w:cs="Arial"/>
              </w:rPr>
            </w:pPr>
            <w:r w:rsidRPr="00A5341E">
              <w:rPr>
                <w:rFonts w:cs="Arial"/>
              </w:rPr>
              <w:t>A és B kategória esetében a támogatási kérelem tartalmazza a befogadó-elvű nevelési gyakorlat megvalósítását beilleszkedési, tanulási, magatartási nehézséggel küzdő, illetve a többi gyermekkel együtt nevelhető sajátos nevelési igényű gyermekek, tanulók nevelését-oktatását, fejlesztését vagy hátrányos helyzetű gyermekek integrált/integrációs nevelését segítő tevékenységet.</w:t>
            </w:r>
          </w:p>
          <w:p w:rsidR="00961BD9" w:rsidRPr="00A5341E" w:rsidRDefault="00961BD9" w:rsidP="00C5795A">
            <w:pPr>
              <w:spacing w:after="0" w:line="240" w:lineRule="auto"/>
              <w:jc w:val="both"/>
              <w:rPr>
                <w:rFonts w:cs="Arial"/>
              </w:rPr>
            </w:pPr>
            <w:r w:rsidRPr="00A5341E">
              <w:rPr>
                <w:rFonts w:cs="Arial"/>
              </w:rPr>
              <w:t xml:space="preserve">C kategória </w:t>
            </w:r>
            <w:r>
              <w:rPr>
                <w:rFonts w:cs="Arial"/>
              </w:rPr>
              <w:t>keretében</w:t>
            </w:r>
            <w:r w:rsidRPr="00A5341E">
              <w:rPr>
                <w:rFonts w:cs="Arial"/>
              </w:rPr>
              <w:t xml:space="preserve"> a kizárólag sajátos nevelési igényű gyermekeket, tanulókat ellátó intézmény esetében jelen értékelési szempont nem releváns.</w:t>
            </w:r>
          </w:p>
          <w:p w:rsidR="00961BD9" w:rsidRPr="00A5341E" w:rsidRDefault="00961BD9" w:rsidP="00C5795A">
            <w:pPr>
              <w:spacing w:after="0" w:line="240" w:lineRule="auto"/>
              <w:jc w:val="both"/>
              <w:rPr>
                <w:rFonts w:cs="Arial"/>
              </w:rPr>
            </w:pPr>
          </w:p>
          <w:p w:rsidR="00961BD9" w:rsidRPr="00A5341E" w:rsidRDefault="00961BD9" w:rsidP="00C5795A">
            <w:pPr>
              <w:spacing w:after="0" w:line="240" w:lineRule="auto"/>
              <w:jc w:val="both"/>
              <w:rPr>
                <w:rFonts w:cs="Arial"/>
              </w:rPr>
            </w:pPr>
            <w:r>
              <w:rPr>
                <w:rFonts w:cs="Arial"/>
              </w:rPr>
              <w:t>Kötelező</w:t>
            </w:r>
          </w:p>
          <w:p w:rsidR="00961BD9" w:rsidRDefault="00961BD9" w:rsidP="00961BD9">
            <w:pPr>
              <w:pStyle w:val="Listaszerbekezds"/>
              <w:numPr>
                <w:ilvl w:val="0"/>
                <w:numId w:val="4"/>
              </w:numPr>
              <w:spacing w:after="0" w:line="240" w:lineRule="auto"/>
              <w:jc w:val="both"/>
              <w:rPr>
                <w:rFonts w:ascii="Arial" w:hAnsi="Arial" w:cs="Arial"/>
                <w:sz w:val="20"/>
                <w:szCs w:val="20"/>
              </w:rPr>
            </w:pPr>
            <w:r w:rsidRPr="008167EB">
              <w:rPr>
                <w:rFonts w:ascii="Arial" w:hAnsi="Arial" w:cs="Arial"/>
                <w:sz w:val="20"/>
                <w:szCs w:val="20"/>
              </w:rPr>
              <w:t>vállal</w:t>
            </w:r>
            <w:r>
              <w:rPr>
                <w:rFonts w:ascii="Arial" w:hAnsi="Arial" w:cs="Arial"/>
                <w:sz w:val="20"/>
                <w:szCs w:val="20"/>
              </w:rPr>
              <w:t>ni</w:t>
            </w:r>
            <w:r w:rsidRPr="008167EB">
              <w:rPr>
                <w:rFonts w:ascii="Arial" w:hAnsi="Arial" w:cs="Arial"/>
                <w:sz w:val="20"/>
                <w:szCs w:val="20"/>
              </w:rPr>
              <w:t xml:space="preserve"> a </w:t>
            </w:r>
            <w:r w:rsidRPr="00A12E3D">
              <w:rPr>
                <w:rFonts w:ascii="Arial" w:hAnsi="Arial" w:cs="Arial"/>
                <w:sz w:val="20"/>
                <w:szCs w:val="20"/>
              </w:rPr>
              <w:t xml:space="preserve">befogadó-elvű nevelési gyakorlat megvalósítását, beilleszkedési, tanulási, magatartási nehézséggel küzdő, valamint a többi gyermekkel együtt nevelhető sajátos nevelési igényű (SNI), vagy a hátrányos helyzetű gyermekek integrált/integrációs nevelését, kivéve a kizárólag gyógypedagógiai, konduktív pedagógiai nevelést ellátó </w:t>
            </w:r>
            <w:proofErr w:type="spellStart"/>
            <w:r w:rsidRPr="00A12E3D">
              <w:rPr>
                <w:rFonts w:ascii="Arial" w:hAnsi="Arial" w:cs="Arial"/>
                <w:sz w:val="20"/>
                <w:szCs w:val="20"/>
              </w:rPr>
              <w:t>feladatellátási</w:t>
            </w:r>
            <w:proofErr w:type="spellEnd"/>
            <w:r w:rsidRPr="00A12E3D">
              <w:rPr>
                <w:rFonts w:ascii="Arial" w:hAnsi="Arial" w:cs="Arial"/>
                <w:sz w:val="20"/>
                <w:szCs w:val="20"/>
              </w:rPr>
              <w:t xml:space="preserve"> helyek fejlesztésekor,</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Pr>
                <w:rFonts w:ascii="Arial" w:hAnsi="Arial" w:cs="Arial"/>
                <w:sz w:val="20"/>
                <w:szCs w:val="20"/>
              </w:rPr>
              <w:t xml:space="preserve">támogatást igénylő vállalja az alapító okirat módosításával is a </w:t>
            </w:r>
            <w:r w:rsidRPr="00A12E3D">
              <w:rPr>
                <w:rFonts w:ascii="Arial" w:hAnsi="Arial" w:cs="Arial"/>
                <w:sz w:val="20"/>
                <w:szCs w:val="20"/>
              </w:rPr>
              <w:t>sajátos nevelési igényű (SNI), vagy a hátrányos helyzetű gyermekek</w:t>
            </w:r>
            <w:r>
              <w:rPr>
                <w:rFonts w:ascii="Arial" w:hAnsi="Arial" w:cs="Arial"/>
                <w:sz w:val="20"/>
                <w:szCs w:val="20"/>
              </w:rPr>
              <w:t xml:space="preserve"> </w:t>
            </w:r>
            <w:r w:rsidRPr="00F20EE7">
              <w:rPr>
                <w:rFonts w:ascii="Arial" w:hAnsi="Arial" w:cs="Arial"/>
                <w:sz w:val="20"/>
                <w:szCs w:val="20"/>
              </w:rPr>
              <w:t>integrált nevelését</w:t>
            </w:r>
            <w:r>
              <w:rPr>
                <w:rFonts w:ascii="Arial" w:hAnsi="Arial" w:cs="Arial"/>
                <w:sz w:val="20"/>
                <w:szCs w:val="20"/>
              </w:rPr>
              <w:t xml:space="preserve"> </w:t>
            </w:r>
            <w:r>
              <w:rPr>
                <w:rFonts w:ascii="Arial" w:hAnsi="Arial" w:cs="Arial"/>
                <w:sz w:val="20"/>
                <w:szCs w:val="20"/>
              </w:rPr>
              <w:lastRenderedPageBreak/>
              <w:t>amennyiben a benyújtáskor az alapító okirat ezt még nem tartalmazza (</w:t>
            </w:r>
            <w:proofErr w:type="spellStart"/>
            <w:r>
              <w:rPr>
                <w:rFonts w:ascii="Arial" w:hAnsi="Arial" w:cs="Arial"/>
                <w:sz w:val="20"/>
                <w:szCs w:val="20"/>
              </w:rPr>
              <w:t>SNI-s</w:t>
            </w:r>
            <w:proofErr w:type="spellEnd"/>
            <w:r>
              <w:rPr>
                <w:rFonts w:ascii="Arial" w:hAnsi="Arial" w:cs="Arial"/>
                <w:sz w:val="20"/>
                <w:szCs w:val="20"/>
              </w:rPr>
              <w:t xml:space="preserve"> gyerekek esetén elegendő egy sajátosság vállalása).</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 xml:space="preserve">a „Beilleszkedési, tanulási, magatartási nehézséggel küzdő, illetve sajátos nevelési igényű gyermekek, tanulók nevelését-oktatását, fejlesztését segítő csoportszoba kialakítása, vagy meglévő helyiség felújítása” tevékenység megvalósítása (kivéve kollégium és alapfokú művészeti iskola), amennyiben az adott </w:t>
            </w:r>
            <w:proofErr w:type="spellStart"/>
            <w:r w:rsidRPr="00A12E3D">
              <w:rPr>
                <w:rFonts w:ascii="Arial" w:hAnsi="Arial" w:cs="Arial"/>
                <w:sz w:val="20"/>
                <w:szCs w:val="20"/>
              </w:rPr>
              <w:t>feladatellátási</w:t>
            </w:r>
            <w:proofErr w:type="spellEnd"/>
            <w:r w:rsidRPr="00A12E3D">
              <w:rPr>
                <w:rFonts w:ascii="Arial" w:hAnsi="Arial" w:cs="Arial"/>
                <w:sz w:val="20"/>
                <w:szCs w:val="20"/>
              </w:rPr>
              <w:t xml:space="preserve"> hely nem rendelkezik ilyen helyiséggel,</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 xml:space="preserve">kizárólag köznevelési fejlesztések </w:t>
            </w:r>
            <w:r>
              <w:rPr>
                <w:rFonts w:ascii="Arial" w:hAnsi="Arial" w:cs="Arial"/>
                <w:sz w:val="20"/>
                <w:szCs w:val="20"/>
              </w:rPr>
              <w:t>megvalósítása</w:t>
            </w:r>
            <w:r w:rsidRPr="00A12E3D">
              <w:rPr>
                <w:rFonts w:ascii="Arial" w:hAnsi="Arial" w:cs="Arial"/>
                <w:sz w:val="20"/>
                <w:szCs w:val="20"/>
              </w:rPr>
              <w:t>,</w:t>
            </w:r>
          </w:p>
          <w:p w:rsidR="00961BD9" w:rsidRDefault="00961BD9" w:rsidP="00C5795A">
            <w:pPr>
              <w:spacing w:after="0" w:line="240" w:lineRule="auto"/>
              <w:jc w:val="both"/>
              <w:rPr>
                <w:rFonts w:cs="Arial"/>
              </w:rPr>
            </w:pPr>
          </w:p>
          <w:p w:rsidR="00961BD9" w:rsidRDefault="00961BD9" w:rsidP="00C5795A">
            <w:pPr>
              <w:spacing w:after="0" w:line="240" w:lineRule="auto"/>
              <w:jc w:val="both"/>
              <w:rPr>
                <w:rFonts w:cs="Arial"/>
              </w:rPr>
            </w:pPr>
            <w:r>
              <w:rPr>
                <w:rFonts w:cs="Arial"/>
              </w:rPr>
              <w:t>A</w:t>
            </w:r>
            <w:r w:rsidRPr="00396A11">
              <w:rPr>
                <w:rFonts w:cs="Arial"/>
              </w:rPr>
              <w:t xml:space="preserve">mennyiben </w:t>
            </w:r>
          </w:p>
          <w:p w:rsidR="00961BD9" w:rsidRPr="00396A11" w:rsidRDefault="00961BD9" w:rsidP="00961BD9">
            <w:pPr>
              <w:pStyle w:val="Listaszerbekezds"/>
              <w:numPr>
                <w:ilvl w:val="0"/>
                <w:numId w:val="4"/>
              </w:numPr>
              <w:spacing w:after="0" w:line="240" w:lineRule="auto"/>
              <w:jc w:val="both"/>
              <w:rPr>
                <w:rFonts w:ascii="Arial" w:hAnsi="Arial" w:cs="Arial"/>
                <w:sz w:val="20"/>
                <w:szCs w:val="20"/>
              </w:rPr>
            </w:pPr>
            <w:r w:rsidRPr="00396A11">
              <w:rPr>
                <w:rFonts w:ascii="Arial" w:hAnsi="Arial" w:cs="Arial"/>
                <w:sz w:val="20"/>
                <w:szCs w:val="20"/>
              </w:rPr>
              <w:t>a fejlesztendő intézmény/szolgáltatás más nem támogatható funkcióval egy épületben működik vagy kerül elhelyezésre, kizárólag a támogatható köznevelési feladatokhoz kapcsolódó helyiségek, épületrészek fejlesztése számolható el,</w:t>
            </w:r>
          </w:p>
          <w:p w:rsidR="00961BD9" w:rsidRPr="00A12E3D" w:rsidRDefault="00961BD9" w:rsidP="00961BD9">
            <w:pPr>
              <w:pStyle w:val="Listaszerbekezds"/>
              <w:numPr>
                <w:ilvl w:val="0"/>
                <w:numId w:val="4"/>
              </w:numPr>
              <w:spacing w:after="0" w:line="240" w:lineRule="auto"/>
              <w:jc w:val="both"/>
              <w:rPr>
                <w:rFonts w:ascii="Arial" w:hAnsi="Arial" w:cs="Arial"/>
                <w:sz w:val="20"/>
                <w:szCs w:val="20"/>
              </w:rPr>
            </w:pPr>
            <w:r w:rsidRPr="00A12E3D">
              <w:rPr>
                <w:rFonts w:ascii="Arial" w:hAnsi="Arial" w:cs="Arial"/>
                <w:sz w:val="20"/>
                <w:szCs w:val="20"/>
              </w:rPr>
              <w:t>sportudvar, iskolaudvar, szabadtéri közösségi terek fejlesztés</w:t>
            </w:r>
            <w:r>
              <w:rPr>
                <w:rFonts w:ascii="Arial" w:hAnsi="Arial" w:cs="Arial"/>
                <w:sz w:val="20"/>
                <w:szCs w:val="20"/>
              </w:rPr>
              <w:t>ér</w:t>
            </w:r>
            <w:r w:rsidRPr="00A12E3D">
              <w:rPr>
                <w:rFonts w:ascii="Arial" w:hAnsi="Arial" w:cs="Arial"/>
                <w:sz w:val="20"/>
                <w:szCs w:val="20"/>
              </w:rPr>
              <w:t xml:space="preserve">e </w:t>
            </w:r>
            <w:r>
              <w:rPr>
                <w:rFonts w:ascii="Arial" w:hAnsi="Arial" w:cs="Arial"/>
                <w:sz w:val="20"/>
                <w:szCs w:val="20"/>
              </w:rPr>
              <w:t xml:space="preserve">kerül </w:t>
            </w:r>
            <w:r w:rsidRPr="00A12E3D">
              <w:rPr>
                <w:rFonts w:ascii="Arial" w:hAnsi="Arial" w:cs="Arial"/>
                <w:sz w:val="20"/>
                <w:szCs w:val="20"/>
              </w:rPr>
              <w:t>sor</w:t>
            </w:r>
            <w:r>
              <w:rPr>
                <w:rFonts w:ascii="Arial" w:hAnsi="Arial" w:cs="Arial"/>
                <w:sz w:val="20"/>
                <w:szCs w:val="20"/>
              </w:rPr>
              <w:t>,</w:t>
            </w:r>
            <w:r w:rsidRPr="00A12E3D">
              <w:rPr>
                <w:rFonts w:ascii="Arial" w:hAnsi="Arial" w:cs="Arial"/>
                <w:sz w:val="20"/>
                <w:szCs w:val="20"/>
              </w:rPr>
              <w:t xml:space="preserve"> a Felhívás 2.4. 1. a) pontjában szereplő követelmények közül kiemelt figyelmet kell fordítani a „jelentős károkozás elkerülését célzó” elővigyázatosság elvén belül a biológiai sokféleség és az ökoszisztémák védelmére és helyreállítására,</w:t>
            </w:r>
          </w:p>
          <w:p w:rsidR="00961BD9" w:rsidRPr="00392970" w:rsidRDefault="00961BD9" w:rsidP="00961BD9">
            <w:pPr>
              <w:pStyle w:val="Listaszerbekezds"/>
              <w:numPr>
                <w:ilvl w:val="0"/>
                <w:numId w:val="4"/>
              </w:numPr>
              <w:spacing w:after="0" w:line="240" w:lineRule="auto"/>
              <w:jc w:val="both"/>
              <w:rPr>
                <w:rFonts w:eastAsia="Arial" w:cs="Arial"/>
                <w:lang w:val="hu"/>
              </w:rPr>
            </w:pPr>
            <w:r w:rsidRPr="00A12E3D">
              <w:rPr>
                <w:rFonts w:ascii="Arial" w:hAnsi="Arial" w:cs="Arial"/>
                <w:sz w:val="20"/>
                <w:szCs w:val="20"/>
              </w:rPr>
              <w:t>építési beruházás</w:t>
            </w:r>
            <w:r>
              <w:rPr>
                <w:rFonts w:ascii="Arial" w:hAnsi="Arial" w:cs="Arial"/>
                <w:sz w:val="20"/>
                <w:szCs w:val="20"/>
              </w:rPr>
              <w:t>ra</w:t>
            </w:r>
            <w:r w:rsidRPr="00A12E3D">
              <w:rPr>
                <w:rFonts w:ascii="Arial" w:hAnsi="Arial" w:cs="Arial"/>
                <w:sz w:val="20"/>
                <w:szCs w:val="20"/>
              </w:rPr>
              <w:t xml:space="preserve"> (beleértve: a nem engedélyköteles beruházást, valamint építési engedély köteles beruházást) </w:t>
            </w:r>
            <w:r>
              <w:rPr>
                <w:rFonts w:ascii="Arial" w:hAnsi="Arial" w:cs="Arial"/>
                <w:sz w:val="20"/>
                <w:szCs w:val="20"/>
              </w:rPr>
              <w:t>kerül sor,</w:t>
            </w:r>
            <w:r w:rsidRPr="00A12E3D">
              <w:rPr>
                <w:rFonts w:ascii="Arial" w:hAnsi="Arial" w:cs="Arial"/>
                <w:sz w:val="20"/>
                <w:szCs w:val="20"/>
              </w:rPr>
              <w:t xml:space="preserve"> a támogatási kérelem mellett a </w:t>
            </w:r>
            <w:r>
              <w:rPr>
                <w:rFonts w:ascii="Arial" w:hAnsi="Arial" w:cs="Arial"/>
                <w:sz w:val="20"/>
                <w:szCs w:val="20"/>
              </w:rPr>
              <w:t xml:space="preserve">következő </w:t>
            </w:r>
            <w:r w:rsidRPr="00A12E3D">
              <w:rPr>
                <w:rFonts w:ascii="Arial" w:hAnsi="Arial" w:cs="Arial"/>
                <w:sz w:val="20"/>
                <w:szCs w:val="20"/>
              </w:rPr>
              <w:t xml:space="preserve">dokumentációt is vizsgálni kell: helyszínrajz, vázlatrajz (jelenlegi és </w:t>
            </w:r>
            <w:r w:rsidRPr="00A12E3D">
              <w:rPr>
                <w:rFonts w:ascii="Arial" w:hAnsi="Arial" w:cs="Arial"/>
                <w:sz w:val="20"/>
                <w:szCs w:val="20"/>
              </w:rPr>
              <w:lastRenderedPageBreak/>
              <w:t>tervezett állapot bemutatása), rövid</w:t>
            </w:r>
            <w:r w:rsidRPr="009A236B">
              <w:rPr>
                <w:rFonts w:ascii="Arial" w:hAnsi="Arial" w:cs="Arial"/>
                <w:sz w:val="20"/>
                <w:szCs w:val="20"/>
              </w:rPr>
              <w:t xml:space="preserve"> műszaki leírás és energetikai tanúsítvány</w:t>
            </w:r>
            <w:r>
              <w:rPr>
                <w:rFonts w:ascii="Arial" w:hAnsi="Arial" w:cs="Arial"/>
                <w:sz w:val="20"/>
                <w:szCs w:val="20"/>
              </w:rPr>
              <w:t>,</w:t>
            </w:r>
          </w:p>
          <w:p w:rsidR="00961BD9" w:rsidRPr="00EA655F" w:rsidRDefault="00961BD9" w:rsidP="00961BD9">
            <w:pPr>
              <w:pStyle w:val="Listaszerbekezds"/>
              <w:numPr>
                <w:ilvl w:val="0"/>
                <w:numId w:val="4"/>
              </w:numPr>
              <w:spacing w:after="0" w:line="240" w:lineRule="auto"/>
              <w:jc w:val="both"/>
              <w:rPr>
                <w:rFonts w:eastAsia="Arial" w:cs="Arial"/>
                <w:lang w:val="hu"/>
              </w:rPr>
            </w:pPr>
            <w:r>
              <w:rPr>
                <w:rFonts w:cs="Arial"/>
              </w:rPr>
              <w:t>olyan k</w:t>
            </w:r>
            <w:r w:rsidRPr="00CA6CF5">
              <w:rPr>
                <w:rFonts w:ascii="Arial" w:hAnsi="Arial" w:cs="Arial"/>
                <w:sz w:val="20"/>
                <w:szCs w:val="20"/>
              </w:rPr>
              <w:t>özös használatú helyiségek</w:t>
            </w:r>
            <w:r>
              <w:rPr>
                <w:rFonts w:ascii="Arial" w:hAnsi="Arial" w:cs="Arial"/>
                <w:sz w:val="20"/>
                <w:szCs w:val="20"/>
              </w:rPr>
              <w:t xml:space="preserve"> fejlesztésre kerül sor</w:t>
            </w:r>
            <w:r w:rsidRPr="00CA6CF5">
              <w:rPr>
                <w:rFonts w:ascii="Arial" w:hAnsi="Arial" w:cs="Arial"/>
                <w:sz w:val="20"/>
                <w:szCs w:val="20"/>
              </w:rPr>
              <w:t xml:space="preserve"> (pl.: öltözők, folyo</w:t>
            </w:r>
            <w:r>
              <w:rPr>
                <w:rFonts w:ascii="Arial" w:hAnsi="Arial" w:cs="Arial"/>
                <w:sz w:val="20"/>
                <w:szCs w:val="20"/>
              </w:rPr>
              <w:t>sók)</w:t>
            </w:r>
            <w:r w:rsidRPr="00CA6CF5">
              <w:rPr>
                <w:rFonts w:ascii="Arial" w:hAnsi="Arial" w:cs="Arial"/>
                <w:sz w:val="20"/>
                <w:szCs w:val="20"/>
              </w:rPr>
              <w:t xml:space="preserve"> ahol több szolgáltatás működik együtt és ezek között van olyan szolgáltatás, amely nem támogatható, és az arányosítás nem lehetséges a közös térhasználat miatt, ebben az esetben az ott lévő támogatható szolgáltatás miatt az adott helyiség fejlesztése teljes mértékben támogatható, elszámolható. A közös helyiségben együtt működő szolgáltatások leírását és gyakorlati működésüket a megalapozó dokumentumban szükséges bemutatni</w:t>
            </w:r>
            <w:r>
              <w:rPr>
                <w:rFonts w:cs="Arial"/>
              </w:rPr>
              <w:t>.</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rPr>
            </w:pPr>
            <w:r w:rsidRPr="00A5341E">
              <w:rPr>
                <w:rFonts w:cs="Arial"/>
              </w:rPr>
              <w:lastRenderedPageBreak/>
              <w:t>A Felhívás 2.3, 5. és 6.2. pontjában foglalt műszaki-szakmai elvárások vizsgálatát a támogatási kérelem és az adatlap alapján kell elvégezni.</w:t>
            </w:r>
          </w:p>
          <w:p w:rsidR="00961BD9" w:rsidRDefault="00961BD9" w:rsidP="00C5795A">
            <w:pPr>
              <w:spacing w:after="0" w:line="240" w:lineRule="auto"/>
              <w:jc w:val="both"/>
              <w:rPr>
                <w:rFonts w:cs="Arial"/>
              </w:rPr>
            </w:pPr>
          </w:p>
          <w:p w:rsidR="00961BD9" w:rsidRPr="00A5341E" w:rsidRDefault="00961BD9" w:rsidP="00C5795A">
            <w:pPr>
              <w:spacing w:after="0" w:line="240" w:lineRule="auto"/>
              <w:jc w:val="both"/>
              <w:rPr>
                <w:rFonts w:cs="Arial"/>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3871A5">
              <w:rPr>
                <w:lang w:val="hu"/>
              </w:rPr>
              <w:t>Megfelelt / Részben megfelelt</w:t>
            </w:r>
            <w:r>
              <w:rPr>
                <w:rFonts w:eastAsia="Arial" w:cs="Arial"/>
                <w:lang w:val="hu"/>
              </w:rPr>
              <w:t xml:space="preserve">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lastRenderedPageBreak/>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Szakmai indokoltság, megalapozottság</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A projekt vállalja és teljesíti az EFOP Plusz és TOP Plusz fejlesztések szinergiáját, </w:t>
            </w:r>
            <w:r>
              <w:rPr>
                <w:rFonts w:eastAsia="Arial" w:cs="Arial"/>
                <w:lang w:val="hu"/>
              </w:rPr>
              <w:t xml:space="preserve">lehatárolását, </w:t>
            </w:r>
            <w:r w:rsidRPr="00D33A29">
              <w:rPr>
                <w:rFonts w:eastAsia="Arial" w:cs="Arial"/>
                <w:lang w:val="hu"/>
              </w:rPr>
              <w:t xml:space="preserve">valamint az ERFA, ESZA+ és/vagy </w:t>
            </w:r>
            <w:r w:rsidRPr="0077274D">
              <w:rPr>
                <w:rFonts w:eastAsia="Arial" w:cs="Arial"/>
                <w:lang w:val="hu"/>
              </w:rPr>
              <w:t>RRF</w:t>
            </w:r>
            <w:r w:rsidRPr="00D33A29">
              <w:rPr>
                <w:rFonts w:eastAsia="Arial" w:cs="Arial"/>
                <w:lang w:val="hu"/>
              </w:rPr>
              <w:t xml:space="preserve"> fejlesztések kapcsolódását.</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Kritérium vizsgálatát a támogatási kérelem </w:t>
            </w:r>
            <w:r>
              <w:rPr>
                <w:rFonts w:eastAsia="Arial" w:cs="Arial"/>
                <w:lang w:val="hu"/>
              </w:rPr>
              <w:t xml:space="preserve">és az adatlap </w:t>
            </w:r>
            <w:r w:rsidRPr="00D33A29">
              <w:rPr>
                <w:rFonts w:eastAsia="Arial" w:cs="Arial"/>
                <w:lang w:val="hu"/>
              </w:rPr>
              <w:t>alapján kell elvégezni.</w:t>
            </w:r>
          </w:p>
          <w:p w:rsidR="00961BD9" w:rsidRDefault="00961BD9" w:rsidP="00C5795A">
            <w:pPr>
              <w:spacing w:after="0" w:line="240" w:lineRule="auto"/>
              <w:jc w:val="both"/>
              <w:rPr>
                <w:rFonts w:eastAsia="Arial" w:cs="Arial"/>
                <w:lang w:val="hu"/>
              </w:rPr>
            </w:pPr>
          </w:p>
          <w:p w:rsidR="00961BD9" w:rsidRDefault="00961BD9" w:rsidP="00C5795A">
            <w:pPr>
              <w:spacing w:after="0" w:line="240" w:lineRule="auto"/>
              <w:jc w:val="both"/>
              <w:rPr>
                <w:rFonts w:eastAsia="Arial" w:cs="Arial"/>
                <w:lang w:val="hu"/>
              </w:rPr>
            </w:pPr>
            <w:r>
              <w:rPr>
                <w:rFonts w:eastAsia="Arial" w:cs="Arial"/>
                <w:lang w:val="hu"/>
              </w:rPr>
              <w:t xml:space="preserve">Támogatási kérelemben bemutatásra kerül, hogy melyik EFOP Plusz és/vagy RRF felhívás keretében milyen támogatásban részesült vagy várhatóan részesülni fog a fejlesztendő intézmény, a szinergia és a lehatárolás hogyan biztosított (melyik programból milyen tevékenység támogatására </w:t>
            </w:r>
            <w:proofErr w:type="gramStart"/>
            <w:r>
              <w:rPr>
                <w:rFonts w:eastAsia="Arial" w:cs="Arial"/>
                <w:lang w:val="hu"/>
              </w:rPr>
              <w:t>kerül(</w:t>
            </w:r>
            <w:proofErr w:type="gramEnd"/>
            <w:r>
              <w:rPr>
                <w:rFonts w:eastAsia="Arial" w:cs="Arial"/>
                <w:lang w:val="hu"/>
              </w:rPr>
              <w:t>t) sor, azok hogyan egészítik ki egymást és hogyan biztosított a dupla finanszírozás elkerülése).</w:t>
            </w:r>
          </w:p>
          <w:p w:rsidR="00961BD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Pr>
                <w:color w:val="000000"/>
              </w:rPr>
              <w:t>Nem felelt meg minősítés esetén a projekt elutasítására kerül.</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Megfelelt / 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Horizontális szempontok</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Biológiai aktivitás megőrzése</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750E09" w:rsidRDefault="00961BD9" w:rsidP="00C5795A">
            <w:pPr>
              <w:spacing w:after="0" w:line="240" w:lineRule="auto"/>
              <w:jc w:val="both"/>
              <w:rPr>
                <w:rFonts w:eastAsia="Arial" w:cs="Arial"/>
                <w:lang w:val="hu"/>
              </w:rPr>
            </w:pPr>
            <w:r w:rsidRPr="00750E09">
              <w:rPr>
                <w:rFonts w:eastAsia="Arial" w:cs="Arial"/>
                <w:lang w:val="hu"/>
              </w:rPr>
              <w:t xml:space="preserve">A támogatott projektből létrehozott, felújított vagy átépített épület, építmény, létesítmény tervezése, kivitelezése során biztosítani kell, hogy a fejlesztés során a településtervek tartalmáról, elkészítésének és elfogadásának rendjéről, valamint egyes településrendezési sajátos jogintézményekről szóló 419/2021. (VII. 15.) Korm. rendelet 9. melléklete szerint </w:t>
            </w:r>
            <w:r w:rsidRPr="00750E09">
              <w:rPr>
                <w:rFonts w:eastAsia="Arial" w:cs="Arial"/>
                <w:lang w:val="hu"/>
              </w:rPr>
              <w:lastRenderedPageBreak/>
              <w:t>számított biológiai aktivitás érték a fejlesztéssel érintett telkeken nem csökken.</w:t>
            </w:r>
          </w:p>
          <w:p w:rsidR="00961BD9" w:rsidRDefault="00961BD9" w:rsidP="00C5795A">
            <w:pPr>
              <w:spacing w:after="0" w:line="240" w:lineRule="auto"/>
              <w:jc w:val="both"/>
              <w:rPr>
                <w:rFonts w:eastAsia="Arial" w:cs="Arial"/>
                <w:lang w:val="hu"/>
              </w:rPr>
            </w:pPr>
            <w:r w:rsidRPr="00750E09">
              <w:rPr>
                <w:rFonts w:eastAsia="Arial" w:cs="Arial"/>
                <w:lang w:val="hu"/>
              </w:rPr>
              <w:t>A követelmények teljesítését tájépítész, vagy természetvédelmi és tájvédelmi szakértői jogosultsággal rendelkező szakértőnek kell számítással alátámasztania, és nyilatkozatban igazolnia, amely egyben tartalmazza a biológiai aktivitás megőrzésével érintett terület nagyságát is.</w:t>
            </w:r>
          </w:p>
          <w:p w:rsidR="00961BD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Pr>
                <w:rFonts w:eastAsia="Arial" w:cs="Arial"/>
                <w:lang w:val="hu"/>
              </w:rPr>
              <w:t>A megfelelés vizsgálata a megalapozó dokumentumban tett vállalással végezhető.</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Megfelelt / 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Horizontális szempontok</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beforeLines="60" w:before="144" w:afterLines="60" w:after="144" w:line="240" w:lineRule="auto"/>
              <w:jc w:val="both"/>
              <w:rPr>
                <w:rFonts w:cs="Arial"/>
              </w:rPr>
            </w:pPr>
            <w:r>
              <w:rPr>
                <w:rFonts w:cs="Arial"/>
              </w:rPr>
              <w:t>Nemek közti esélyegyenlőség:</w:t>
            </w:r>
          </w:p>
          <w:p w:rsidR="00961BD9" w:rsidRPr="00D33A29" w:rsidRDefault="00961BD9" w:rsidP="00C5795A">
            <w:pPr>
              <w:spacing w:after="0" w:line="240" w:lineRule="auto"/>
              <w:jc w:val="both"/>
              <w:rPr>
                <w:rFonts w:eastAsia="Arial" w:cs="Arial"/>
                <w:lang w:val="hu"/>
              </w:rPr>
            </w:pPr>
            <w:r>
              <w:rPr>
                <w:rFonts w:cs="Arial"/>
              </w:rPr>
              <w:t>G</w:t>
            </w:r>
            <w:r w:rsidRPr="009A008E">
              <w:rPr>
                <w:rFonts w:cs="Arial"/>
              </w:rPr>
              <w:t>yermekgondozáshoz kapcsolódó ellátás, támogatás (pl. GYES, GYED) igénybevétele alatt</w:t>
            </w:r>
            <w:r>
              <w:rPr>
                <w:rFonts w:cs="Arial"/>
              </w:rPr>
              <w:t>i kapcsolattartás.</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Default="00961BD9" w:rsidP="00C5795A">
            <w:pPr>
              <w:spacing w:line="240" w:lineRule="auto"/>
              <w:jc w:val="both"/>
              <w:rPr>
                <w:rFonts w:cs="Arial"/>
              </w:rPr>
            </w:pPr>
            <w:r w:rsidRPr="003C182D">
              <w:rPr>
                <w:rFonts w:cs="Arial"/>
              </w:rPr>
              <w:t xml:space="preserve">Elvárás, hogy a kedvezményezett vállalja a gyermekgondozáshoz kapcsolódó ellátás, támogatás (pl. GYES, GYED) igénybevétele alatt keresőtevékenységet nem folytató – </w:t>
            </w:r>
            <w:r>
              <w:rPr>
                <w:rFonts w:cs="Arial"/>
              </w:rPr>
              <w:t xml:space="preserve">kizárólag az </w:t>
            </w:r>
            <w:r w:rsidRPr="003C182D">
              <w:rPr>
                <w:rFonts w:cs="Arial"/>
              </w:rPr>
              <w:t>együttműködésre nyitott – munkatársakkal való szervezett, dokumentált – szakmai és munkaközösségi fókuszú – kapcs</w:t>
            </w:r>
            <w:r>
              <w:rPr>
                <w:rFonts w:cs="Arial"/>
              </w:rPr>
              <w:t>olattartást.</w:t>
            </w:r>
          </w:p>
          <w:p w:rsidR="00961BD9" w:rsidRDefault="00961BD9" w:rsidP="00C5795A">
            <w:pPr>
              <w:spacing w:line="240" w:lineRule="auto"/>
              <w:jc w:val="both"/>
              <w:rPr>
                <w:rFonts w:cs="Arial"/>
              </w:rPr>
            </w:pPr>
            <w:r>
              <w:rPr>
                <w:rFonts w:cs="Arial"/>
              </w:rPr>
              <w:t>Az erre vonatkozó vállalást a megalapozó dokumentumban leírtak alapján szükséges vizsgálni.</w:t>
            </w:r>
          </w:p>
          <w:p w:rsidR="00961BD9" w:rsidRDefault="00961BD9" w:rsidP="00C5795A">
            <w:pPr>
              <w:spacing w:after="0" w:line="240" w:lineRule="auto"/>
              <w:jc w:val="both"/>
              <w:rPr>
                <w:rFonts w:cs="Arial"/>
              </w:rPr>
            </w:pPr>
            <w:r>
              <w:rPr>
                <w:rFonts w:cs="Arial"/>
              </w:rPr>
              <w:t>Konzorciumi pályázás esetén minden konzorciumi tag esetében szükséges a kapcsolattartás vállalása.</w:t>
            </w:r>
          </w:p>
          <w:p w:rsidR="00961BD9" w:rsidRDefault="00961BD9" w:rsidP="00C5795A">
            <w:pPr>
              <w:spacing w:after="0" w:line="240" w:lineRule="auto"/>
              <w:jc w:val="both"/>
              <w:rPr>
                <w:rFonts w:cs="Arial"/>
              </w:rPr>
            </w:pPr>
          </w:p>
          <w:p w:rsidR="00961BD9" w:rsidRDefault="00961BD9" w:rsidP="00C5795A">
            <w:pPr>
              <w:spacing w:after="0" w:line="240" w:lineRule="auto"/>
              <w:jc w:val="both"/>
              <w:rPr>
                <w:rFonts w:cs="Arial"/>
              </w:rPr>
            </w:pPr>
            <w:r>
              <w:rPr>
                <w:rFonts w:cs="Arial"/>
              </w:rPr>
              <w:t>Az együttműködésre nem nyitott munkatársak esetében a kapcsolattartás nem elvárás.</w:t>
            </w:r>
          </w:p>
          <w:p w:rsidR="00961BD9" w:rsidRPr="00D33A29" w:rsidRDefault="00961BD9" w:rsidP="00C5795A">
            <w:pPr>
              <w:spacing w:after="0" w:line="240" w:lineRule="auto"/>
              <w:jc w:val="both"/>
              <w:rPr>
                <w:rFonts w:eastAsia="Arial" w:cs="Arial"/>
                <w:lang w:val="hu"/>
              </w:rPr>
            </w:pP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D33A29" w:rsidRDefault="00961BD9" w:rsidP="00C5795A">
            <w:pPr>
              <w:spacing w:after="0" w:line="240" w:lineRule="auto"/>
              <w:jc w:val="both"/>
              <w:rPr>
                <w:rFonts w:eastAsia="Arial" w:cs="Arial"/>
                <w:lang w:val="hu"/>
              </w:rPr>
            </w:pPr>
            <w:r w:rsidRPr="0077274D">
              <w:rPr>
                <w:rFonts w:cs="Arial"/>
              </w:rPr>
              <w:t>Megfelelt / Nem felelt meg</w:t>
            </w:r>
            <w:r>
              <w:rPr>
                <w:rFonts w:cs="Arial"/>
              </w:rPr>
              <w:t xml:space="preserve"> / Nem releváns</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r w:rsidRPr="00D57100">
              <w:rPr>
                <w:rFonts w:ascii="Arial" w:hAnsi="Arial"/>
                <w:sz w:val="20"/>
              </w:rPr>
              <w:t xml:space="preserve"> </w:t>
            </w: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Indikátorvállalás</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Indikátorvállalás az OP</w:t>
            </w:r>
            <w:r>
              <w:rPr>
                <w:rFonts w:eastAsia="Arial" w:cs="Arial"/>
                <w:lang w:val="hu"/>
              </w:rPr>
              <w:t>-</w:t>
            </w:r>
            <w:r w:rsidRPr="00D33A29">
              <w:rPr>
                <w:rFonts w:eastAsia="Arial" w:cs="Arial"/>
                <w:lang w:val="hu"/>
              </w:rPr>
              <w:t>ban található kimeneti és eredménymutatókhoz igazodik</w:t>
            </w:r>
          </w:p>
          <w:p w:rsidR="00961BD9" w:rsidRPr="00D57100" w:rsidRDefault="00961BD9" w:rsidP="00961BD9">
            <w:pPr>
              <w:pStyle w:val="Listaszerbekezds"/>
              <w:numPr>
                <w:ilvl w:val="0"/>
                <w:numId w:val="6"/>
              </w:numPr>
              <w:spacing w:after="0" w:line="240" w:lineRule="auto"/>
              <w:jc w:val="both"/>
              <w:rPr>
                <w:rFonts w:ascii="Arial" w:hAnsi="Arial"/>
                <w:sz w:val="20"/>
                <w:lang w:val="hu"/>
              </w:rPr>
            </w:pPr>
            <w:r w:rsidRPr="00D57100">
              <w:rPr>
                <w:rFonts w:ascii="Arial" w:hAnsi="Arial"/>
                <w:sz w:val="20"/>
                <w:lang w:val="hu"/>
              </w:rPr>
              <w:t>RCO67</w:t>
            </w:r>
          </w:p>
          <w:p w:rsidR="00961BD9" w:rsidRPr="00D57100" w:rsidRDefault="00961BD9" w:rsidP="00961BD9">
            <w:pPr>
              <w:pStyle w:val="Listaszerbekezds"/>
              <w:numPr>
                <w:ilvl w:val="0"/>
                <w:numId w:val="6"/>
              </w:numPr>
              <w:spacing w:after="0" w:line="240" w:lineRule="auto"/>
              <w:jc w:val="both"/>
              <w:rPr>
                <w:rFonts w:ascii="Arial" w:hAnsi="Arial"/>
                <w:sz w:val="20"/>
                <w:lang w:val="hu"/>
              </w:rPr>
            </w:pPr>
            <w:r w:rsidRPr="00D57100">
              <w:rPr>
                <w:rFonts w:ascii="Arial" w:hAnsi="Arial"/>
                <w:sz w:val="20"/>
                <w:lang w:val="hu"/>
              </w:rPr>
              <w:t>TPO30</w:t>
            </w:r>
          </w:p>
          <w:p w:rsidR="00961BD9" w:rsidRPr="00D57100" w:rsidRDefault="00961BD9" w:rsidP="00961BD9">
            <w:pPr>
              <w:pStyle w:val="Listaszerbekezds"/>
              <w:numPr>
                <w:ilvl w:val="0"/>
                <w:numId w:val="6"/>
              </w:numPr>
              <w:spacing w:after="0" w:line="240" w:lineRule="auto"/>
              <w:jc w:val="both"/>
              <w:rPr>
                <w:rFonts w:ascii="Arial" w:hAnsi="Arial"/>
                <w:sz w:val="20"/>
                <w:lang w:val="hu"/>
              </w:rPr>
            </w:pPr>
            <w:r w:rsidRPr="00D57100">
              <w:rPr>
                <w:rFonts w:ascii="Arial" w:hAnsi="Arial"/>
                <w:sz w:val="20"/>
                <w:lang w:val="hu"/>
              </w:rPr>
              <w:t>TPO31</w:t>
            </w:r>
          </w:p>
          <w:p w:rsidR="00961BD9" w:rsidRPr="003E158E" w:rsidRDefault="00961BD9" w:rsidP="00961BD9">
            <w:pPr>
              <w:pStyle w:val="Listaszerbekezds"/>
              <w:numPr>
                <w:ilvl w:val="0"/>
                <w:numId w:val="6"/>
              </w:numPr>
              <w:spacing w:after="0" w:line="240" w:lineRule="auto"/>
              <w:jc w:val="both"/>
              <w:rPr>
                <w:rFonts w:eastAsia="Arial" w:cs="Arial"/>
                <w:lang w:val="hu"/>
              </w:rPr>
            </w:pPr>
            <w:r w:rsidRPr="00D57100">
              <w:rPr>
                <w:rFonts w:ascii="Arial" w:hAnsi="Arial"/>
                <w:sz w:val="20"/>
                <w:lang w:val="hu"/>
              </w:rPr>
              <w:t>RCR71</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cs="Arial"/>
                <w:lang w:val="hu"/>
              </w:rPr>
            </w:pPr>
            <w:r w:rsidRPr="00D33A29">
              <w:rPr>
                <w:rFonts w:cs="Arial"/>
                <w:lang w:val="hu"/>
              </w:rPr>
              <w:t xml:space="preserve">Vállalás az alábbi indikátorokhoz való hozzájárulásra: </w:t>
            </w:r>
          </w:p>
          <w:p w:rsidR="00961BD9" w:rsidRPr="00D33A29" w:rsidRDefault="00961BD9" w:rsidP="00C5795A">
            <w:pPr>
              <w:spacing w:after="0" w:line="240" w:lineRule="auto"/>
              <w:jc w:val="both"/>
              <w:rPr>
                <w:rFonts w:cs="Arial"/>
                <w:lang w:val="hu"/>
              </w:rPr>
            </w:pPr>
            <w:r w:rsidRPr="00D33A29">
              <w:rPr>
                <w:rFonts w:cs="Arial"/>
                <w:lang w:val="hu"/>
              </w:rPr>
              <w:t>a. A támogatást igénylő a támogatási kérelemben vállalta a Felhívásban kötelezően előírt indikátorok és releváns esetben egyéb mutatók teljesítését.</w:t>
            </w:r>
          </w:p>
          <w:p w:rsidR="00961BD9" w:rsidRDefault="00961BD9" w:rsidP="00C5795A">
            <w:pPr>
              <w:spacing w:after="0" w:line="240" w:lineRule="auto"/>
              <w:jc w:val="both"/>
              <w:rPr>
                <w:rFonts w:eastAsia="Arial" w:cs="Arial"/>
                <w:lang w:val="hu"/>
              </w:rPr>
            </w:pPr>
            <w:r w:rsidRPr="00D33A29">
              <w:rPr>
                <w:rFonts w:cs="Arial"/>
                <w:lang w:val="hu"/>
              </w:rPr>
              <w:t>b. Az indikátorok és releváns esetben egyéb mutatók típusa, bázis- és célértéke, a bázis mérésének időpontja, a célérték elérésének tervezett időpontja, a számítások levezetése, a vállalás szakmai tartalma, a mérés módja és alátámasztása kifejtésre került és megfelelő.</w:t>
            </w:r>
            <w:r w:rsidRPr="00D33A29">
              <w:rPr>
                <w:rFonts w:eastAsia="Arial" w:cs="Arial"/>
                <w:lang w:val="hu"/>
              </w:rPr>
              <w:t xml:space="preserve"> </w:t>
            </w:r>
          </w:p>
          <w:p w:rsidR="00961BD9" w:rsidRDefault="00961BD9" w:rsidP="00C5795A">
            <w:pPr>
              <w:spacing w:after="0" w:line="240" w:lineRule="auto"/>
              <w:jc w:val="both"/>
              <w:rPr>
                <w:rFonts w:eastAsia="Arial" w:cs="Arial"/>
                <w:lang w:val="hu"/>
              </w:rPr>
            </w:pPr>
          </w:p>
          <w:p w:rsidR="00961BD9" w:rsidRPr="00D33A29" w:rsidRDefault="00961BD9" w:rsidP="00C5795A">
            <w:pPr>
              <w:spacing w:after="0" w:line="240" w:lineRule="auto"/>
              <w:jc w:val="both"/>
              <w:rPr>
                <w:rFonts w:eastAsia="Arial" w:cs="Arial"/>
                <w:lang w:val="hu"/>
              </w:rPr>
            </w:pPr>
            <w:r w:rsidRPr="00690C6D">
              <w:rPr>
                <w:rFonts w:cs="Arial"/>
              </w:rPr>
              <w:lastRenderedPageBreak/>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 xml:space="preserve">Megfelelt / </w:t>
            </w:r>
            <w:r>
              <w:rPr>
                <w:rFonts w:eastAsia="Arial" w:cs="Arial"/>
                <w:lang w:val="hu"/>
              </w:rPr>
              <w:t xml:space="preserve">Részben megfelelt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77274D">
              <w:rPr>
                <w:rFonts w:cs="Arial"/>
                <w:bCs/>
              </w:rPr>
              <w:t>Költségvetés vizsgálata</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77274D">
              <w:rPr>
                <w:rFonts w:eastAsia="Calibri" w:cs="Arial"/>
                <w:color w:val="000000"/>
                <w:lang w:eastAsia="en-GB"/>
              </w:rPr>
              <w:t xml:space="preserve">A támogatási kérelem projektmérete az adott </w:t>
            </w:r>
            <w:proofErr w:type="spellStart"/>
            <w:r w:rsidRPr="0077274D">
              <w:rPr>
                <w:rFonts w:eastAsia="Calibri" w:cs="Arial"/>
                <w:color w:val="000000"/>
                <w:lang w:eastAsia="en-GB"/>
              </w:rPr>
              <w:t>területspecifikus</w:t>
            </w:r>
            <w:proofErr w:type="spellEnd"/>
            <w:r w:rsidRPr="0077274D">
              <w:rPr>
                <w:rFonts w:eastAsia="Calibri" w:cs="Arial"/>
                <w:color w:val="000000"/>
                <w:lang w:eastAsia="en-GB"/>
              </w:rPr>
              <w:t xml:space="preserve"> mellékletben megállapított projektméret korlátoknak megfelel.</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tcPr>
          <w:p w:rsidR="00961BD9" w:rsidRPr="00D33A29" w:rsidRDefault="00961BD9" w:rsidP="00C5795A">
            <w:pPr>
              <w:spacing w:after="0" w:line="240" w:lineRule="auto"/>
              <w:jc w:val="both"/>
              <w:rPr>
                <w:rFonts w:cs="Arial"/>
                <w:lang w:val="hu"/>
              </w:rPr>
            </w:pPr>
            <w:r w:rsidRPr="0077274D">
              <w:rPr>
                <w:rFonts w:cs="Arial"/>
              </w:rPr>
              <w:t xml:space="preserve">A </w:t>
            </w:r>
            <w:proofErr w:type="spellStart"/>
            <w:r w:rsidRPr="0077274D">
              <w:rPr>
                <w:rFonts w:cs="Arial"/>
              </w:rPr>
              <w:t>projektadatlapon</w:t>
            </w:r>
            <w:proofErr w:type="spellEnd"/>
            <w:r w:rsidRPr="0077274D">
              <w:rPr>
                <w:rFonts w:cs="Arial"/>
              </w:rPr>
              <w:t xml:space="preserve"> megadott információk alapján vizsgálni szükséges </w:t>
            </w:r>
            <w:r w:rsidRPr="0077274D">
              <w:rPr>
                <w:rFonts w:eastAsia="Calibri" w:cs="Arial"/>
                <w:color w:val="000000"/>
                <w:lang w:eastAsia="en-GB"/>
              </w:rPr>
              <w:t xml:space="preserve">az adott </w:t>
            </w:r>
            <w:proofErr w:type="spellStart"/>
            <w:r w:rsidRPr="0077274D">
              <w:rPr>
                <w:rFonts w:eastAsia="Calibri" w:cs="Arial"/>
                <w:color w:val="000000"/>
                <w:lang w:eastAsia="en-GB"/>
              </w:rPr>
              <w:t>területspecifikus</w:t>
            </w:r>
            <w:proofErr w:type="spellEnd"/>
            <w:r w:rsidRPr="0077274D">
              <w:rPr>
                <w:rFonts w:eastAsia="Calibri" w:cs="Arial"/>
                <w:color w:val="000000"/>
                <w:lang w:eastAsia="en-GB"/>
              </w:rPr>
              <w:t xml:space="preserve"> mellékletben megállapított projektméret korlátoknak való megfelelést.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77274D">
              <w:rPr>
                <w:rFonts w:eastAsia="Calibri" w:cs="Arial"/>
                <w:color w:val="000000"/>
              </w:rPr>
              <w:t>Megfelelt / Nem felelt meg</w:t>
            </w:r>
          </w:p>
        </w:tc>
      </w:tr>
      <w:tr w:rsidR="00961BD9" w:rsidRPr="00D33A29" w:rsidTr="00C5795A">
        <w:trPr>
          <w:trHeight w:val="600"/>
        </w:trPr>
        <w:tc>
          <w:tcPr>
            <w:tcW w:w="14166" w:type="dxa"/>
            <w:gridSpan w:val="5"/>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BF62B2">
              <w:rPr>
                <w:rFonts w:eastAsia="Calibri" w:cs="Arial"/>
                <w:b/>
              </w:rPr>
              <w:t>Előnyben részesítést biztosító szempontok</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Szinergia</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546690">
              <w:rPr>
                <w:rFonts w:eastAsia="Arial" w:cs="Arial"/>
                <w:lang w:val="hu"/>
              </w:rPr>
              <w:t xml:space="preserve">Fejlesztés tárgyát képező </w:t>
            </w:r>
            <w:proofErr w:type="spellStart"/>
            <w:r w:rsidRPr="00546690">
              <w:rPr>
                <w:rFonts w:eastAsia="Arial" w:cs="Arial"/>
                <w:lang w:val="hu"/>
              </w:rPr>
              <w:t>feladatellátási</w:t>
            </w:r>
            <w:proofErr w:type="spellEnd"/>
            <w:r w:rsidRPr="00546690">
              <w:rPr>
                <w:rFonts w:eastAsia="Arial" w:cs="Arial"/>
                <w:lang w:val="hu"/>
              </w:rPr>
              <w:t xml:space="preserve"> hely</w:t>
            </w:r>
            <w:r>
              <w:rPr>
                <w:rFonts w:eastAsia="Arial" w:cs="Arial"/>
                <w:lang w:val="hu"/>
              </w:rPr>
              <w:t>en egyéb fejlesztés vagy annak</w:t>
            </w:r>
            <w:r w:rsidRPr="00546690">
              <w:rPr>
                <w:rFonts w:eastAsia="Arial" w:cs="Arial"/>
                <w:lang w:val="hu"/>
              </w:rPr>
              <w:t xml:space="preserve"> közvetlen környezetében (közvetlenül határos telken) közterület beruházásra kerül sor (pl. út vagy kerékpárút építés az elérhetőség segítésére vagy park-, játszótérfejlesztés).</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546690" w:rsidRDefault="00961BD9" w:rsidP="00C5795A">
            <w:pPr>
              <w:spacing w:after="0" w:line="240" w:lineRule="auto"/>
              <w:jc w:val="both"/>
              <w:rPr>
                <w:rFonts w:cs="Arial"/>
                <w:lang w:val="hu"/>
              </w:rPr>
            </w:pPr>
            <w:r>
              <w:rPr>
                <w:rFonts w:cs="Arial"/>
                <w:lang w:val="hu"/>
              </w:rPr>
              <w:t>Megfelelt</w:t>
            </w:r>
            <w:r w:rsidRPr="00546690">
              <w:rPr>
                <w:rFonts w:cs="Arial"/>
                <w:lang w:val="hu"/>
              </w:rPr>
              <w:t xml:space="preserve">: </w:t>
            </w:r>
            <w:r>
              <w:rPr>
                <w:rFonts w:cs="Arial"/>
                <w:lang w:val="hu"/>
              </w:rPr>
              <w:t>van kapcsolódó beruházás mind a fejlesztéssel érintett ingatlanon, mind legalább egy közvetlenül határos telken és azok megfelelően bemutatásra került.</w:t>
            </w:r>
          </w:p>
          <w:p w:rsidR="00961BD9" w:rsidRDefault="00961BD9" w:rsidP="00C5795A">
            <w:pPr>
              <w:spacing w:after="0" w:line="240" w:lineRule="auto"/>
              <w:jc w:val="both"/>
              <w:rPr>
                <w:rFonts w:cs="Arial"/>
                <w:lang w:val="hu"/>
              </w:rPr>
            </w:pPr>
            <w:r>
              <w:rPr>
                <w:rFonts w:cs="Arial"/>
                <w:lang w:val="hu"/>
              </w:rPr>
              <w:t>Részben megfelelt: van kapcsolódó beruházás vagy a fejlesztéssel érintett ingatlanon vagy a közvetlenül határos telken és az megfelelően bemutatásra került.</w:t>
            </w:r>
          </w:p>
          <w:p w:rsidR="00961BD9" w:rsidRPr="00546690" w:rsidRDefault="00961BD9" w:rsidP="00C5795A">
            <w:pPr>
              <w:spacing w:after="0" w:line="240" w:lineRule="auto"/>
              <w:jc w:val="both"/>
              <w:rPr>
                <w:rFonts w:cs="Arial"/>
                <w:lang w:val="hu"/>
              </w:rPr>
            </w:pPr>
            <w:r>
              <w:rPr>
                <w:rFonts w:cs="Arial"/>
                <w:lang w:val="hu"/>
              </w:rPr>
              <w:t>Nem megfelelt: Nincs kapcsolódó beruházás vagy nem került megfelelően bemutatásra.</w:t>
            </w:r>
          </w:p>
          <w:p w:rsidR="00961BD9" w:rsidRPr="00546690" w:rsidRDefault="00961BD9" w:rsidP="00C5795A">
            <w:pPr>
              <w:spacing w:after="0" w:line="240" w:lineRule="auto"/>
              <w:jc w:val="both"/>
              <w:rPr>
                <w:rFonts w:cs="Arial"/>
                <w:lang w:val="hu"/>
              </w:rPr>
            </w:pPr>
          </w:p>
          <w:p w:rsidR="00961BD9" w:rsidRDefault="00961BD9" w:rsidP="00C5795A">
            <w:pPr>
              <w:spacing w:after="0" w:line="240" w:lineRule="auto"/>
              <w:jc w:val="both"/>
              <w:rPr>
                <w:rFonts w:cs="Arial"/>
                <w:lang w:val="hu"/>
              </w:rPr>
            </w:pPr>
            <w:r w:rsidRPr="00546690">
              <w:rPr>
                <w:rFonts w:cs="Arial"/>
                <w:lang w:val="hu"/>
              </w:rPr>
              <w:t>Csak a támogatási kérelem benyújtásakor már támogatott projektek fogadhatók el, amelyet a megalapozó dokumentumban kell bemutatni.</w:t>
            </w:r>
          </w:p>
          <w:p w:rsidR="00961BD9" w:rsidRDefault="00961BD9" w:rsidP="00C5795A">
            <w:pPr>
              <w:spacing w:after="0" w:line="240" w:lineRule="auto"/>
              <w:jc w:val="both"/>
              <w:rPr>
                <w:rFonts w:cs="Arial"/>
                <w:lang w:val="hu"/>
              </w:rPr>
            </w:pPr>
          </w:p>
          <w:p w:rsidR="00961BD9" w:rsidRDefault="00961BD9" w:rsidP="00C5795A">
            <w:pPr>
              <w:spacing w:after="0" w:line="240" w:lineRule="auto"/>
              <w:jc w:val="both"/>
              <w:rPr>
                <w:rFonts w:cs="Arial"/>
                <w:lang w:val="hu"/>
              </w:rPr>
            </w:pPr>
            <w:r>
              <w:rPr>
                <w:rFonts w:cs="Arial"/>
                <w:lang w:val="hu"/>
              </w:rPr>
              <w:t xml:space="preserve">Amennyiben a támogatási kérelem több fejlesztési helyszínt tartalmaz, úgy a fejlesztési helyszínek mindegyikén szükséges a kapcsolódó beruházások bemutatása. Abban az esetben adható részben megfelelt vagy megfelelt minősítés, amennyiben az adott kategóriába a fejlesztési helyszínek több, mint fele megfelelt. </w:t>
            </w:r>
          </w:p>
          <w:p w:rsidR="00961BD9" w:rsidRDefault="00961BD9" w:rsidP="00C5795A">
            <w:pPr>
              <w:spacing w:after="0" w:line="240" w:lineRule="auto"/>
              <w:jc w:val="both"/>
              <w:rPr>
                <w:rFonts w:cs="Arial"/>
                <w:lang w:val="hu"/>
              </w:rPr>
            </w:pPr>
          </w:p>
          <w:p w:rsidR="00961BD9" w:rsidRPr="00D33A29" w:rsidRDefault="00961BD9" w:rsidP="00C5795A">
            <w:pPr>
              <w:spacing w:after="0" w:line="240" w:lineRule="auto"/>
              <w:jc w:val="both"/>
              <w:rPr>
                <w:rFonts w:cs="Arial"/>
                <w:lang w:val="hu"/>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Megfelelt / </w:t>
            </w:r>
            <w:r>
              <w:rPr>
                <w:rFonts w:eastAsia="Arial" w:cs="Arial"/>
                <w:lang w:val="hu"/>
              </w:rPr>
              <w:t xml:space="preserve">Részben megfelelt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Integráltság</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9A1059" w:rsidRDefault="00961BD9" w:rsidP="00C5795A">
            <w:pPr>
              <w:spacing w:after="0" w:line="240" w:lineRule="auto"/>
              <w:jc w:val="both"/>
              <w:rPr>
                <w:rFonts w:ascii="Calibri" w:eastAsia="Arial" w:hAnsi="Calibri" w:cs="Arial"/>
                <w:color w:val="auto"/>
                <w:sz w:val="22"/>
                <w:szCs w:val="22"/>
                <w:lang w:val="hu"/>
              </w:rPr>
            </w:pPr>
            <w:r w:rsidRPr="009A1059">
              <w:rPr>
                <w:rFonts w:eastAsia="Arial" w:cs="Arial"/>
                <w:lang w:val="hu"/>
              </w:rPr>
              <w:t>A fejlesztés több önállóan támogatható tevékenységre terjed ki</w:t>
            </w:r>
            <w:r>
              <w:t xml:space="preserve"> és </w:t>
            </w:r>
            <w:r w:rsidRPr="009A1059">
              <w:rPr>
                <w:rFonts w:eastAsia="Arial" w:cs="Arial"/>
                <w:lang w:val="hu"/>
              </w:rPr>
              <w:t>választható, önállóan nem támogatható tevékenységet is tartalmaz</w:t>
            </w:r>
            <w:r>
              <w:rPr>
                <w:rFonts w:eastAsia="Arial" w:cs="Arial"/>
                <w:lang w:val="hu"/>
              </w:rPr>
              <w:t>.</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Default="00961BD9" w:rsidP="00C5795A">
            <w:pPr>
              <w:spacing w:after="0" w:line="240" w:lineRule="auto"/>
              <w:jc w:val="both"/>
              <w:rPr>
                <w:rFonts w:cs="Arial"/>
                <w:lang w:val="hu"/>
              </w:rPr>
            </w:pPr>
            <w:r>
              <w:rPr>
                <w:rFonts w:cs="Arial"/>
                <w:lang w:val="hu"/>
              </w:rPr>
              <w:t>Megfelelt: fejlesztés egynél több önállóan támogatható tevékenységet és legalább egy választható, önállóan nem támogatható tevékenységet tartalmaz.</w:t>
            </w:r>
          </w:p>
          <w:p w:rsidR="00961BD9" w:rsidRDefault="00961BD9" w:rsidP="00C5795A">
            <w:pPr>
              <w:spacing w:after="0" w:line="240" w:lineRule="auto"/>
              <w:jc w:val="both"/>
              <w:rPr>
                <w:rFonts w:cs="Arial"/>
                <w:lang w:val="hu"/>
              </w:rPr>
            </w:pPr>
            <w:r>
              <w:rPr>
                <w:rFonts w:cs="Arial"/>
                <w:lang w:val="hu"/>
              </w:rPr>
              <w:lastRenderedPageBreak/>
              <w:t>Részben megfelelt: fejlesztés csak egy önállóan támogatható tevékenységet és legalább egy választható, önállóan nem támogatható tevékenységet tartalmaz.</w:t>
            </w:r>
          </w:p>
          <w:p w:rsidR="00961BD9" w:rsidRDefault="00961BD9" w:rsidP="00C5795A">
            <w:pPr>
              <w:spacing w:after="0" w:line="240" w:lineRule="auto"/>
              <w:jc w:val="both"/>
              <w:rPr>
                <w:rFonts w:cs="Arial"/>
                <w:lang w:val="hu"/>
              </w:rPr>
            </w:pPr>
            <w:r>
              <w:rPr>
                <w:rFonts w:cs="Arial"/>
                <w:lang w:val="hu"/>
              </w:rPr>
              <w:t xml:space="preserve">Nem megfelelt: fejlesztés csak egy önállóan támogatható tevékenységet tartalmaz választható, önállóan nem támogatható tevékenység nélkül. </w:t>
            </w:r>
          </w:p>
          <w:p w:rsidR="00961BD9" w:rsidRDefault="00961BD9" w:rsidP="00C5795A">
            <w:pPr>
              <w:spacing w:after="0" w:line="240" w:lineRule="auto"/>
              <w:jc w:val="both"/>
              <w:rPr>
                <w:rFonts w:cs="Arial"/>
                <w:lang w:val="hu"/>
              </w:rPr>
            </w:pPr>
          </w:p>
          <w:p w:rsidR="00961BD9" w:rsidRPr="00D33A29" w:rsidRDefault="00961BD9" w:rsidP="00C5795A">
            <w:pPr>
              <w:spacing w:after="0" w:line="240" w:lineRule="auto"/>
              <w:jc w:val="both"/>
              <w:rPr>
                <w:rFonts w:cs="Arial"/>
                <w:lang w:val="hu"/>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 xml:space="preserve">Megfelelt / </w:t>
            </w:r>
            <w:r>
              <w:rPr>
                <w:rFonts w:eastAsia="Arial" w:cs="Arial"/>
                <w:lang w:val="hu"/>
              </w:rPr>
              <w:t xml:space="preserve">Részben megfelelt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Költséghatékonyság</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546690">
              <w:rPr>
                <w:rFonts w:eastAsia="Arial" w:cs="Arial"/>
                <w:lang w:val="hu"/>
              </w:rPr>
              <w:t>Költséghatékonyság – A projekt „RCO67 - Az új vagy korszerűsített oktatási létesítmények osztálytermi kapacitása” c. indikátor OP célérték teljesüléséhez való hozzájárulásának mértéke forrásarányos módon tervezett.</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546690" w:rsidRDefault="00961BD9" w:rsidP="00C5795A">
            <w:pPr>
              <w:spacing w:after="0" w:line="240" w:lineRule="auto"/>
              <w:jc w:val="both"/>
              <w:rPr>
                <w:rFonts w:cs="Arial"/>
                <w:lang w:val="hu"/>
              </w:rPr>
            </w:pPr>
            <w:r w:rsidRPr="00546690">
              <w:rPr>
                <w:rFonts w:cs="Arial"/>
                <w:lang w:val="hu"/>
              </w:rPr>
              <w:t xml:space="preserve">A projekt „RCO67 - Az új vagy korszerűsített oktatási létesítmények osztálytermi kapacitása” c. indikátor OP célérték teljesüléséhez való hozzájárulásának mértéke forrásarányos módon tervezett. (Felhívás keret: 80 091 000 </w:t>
            </w:r>
            <w:proofErr w:type="spellStart"/>
            <w:r w:rsidRPr="00546690">
              <w:rPr>
                <w:rFonts w:cs="Arial"/>
                <w:lang w:val="hu"/>
              </w:rPr>
              <w:t>000</w:t>
            </w:r>
            <w:proofErr w:type="spellEnd"/>
            <w:r w:rsidRPr="00546690">
              <w:rPr>
                <w:rFonts w:cs="Arial"/>
                <w:lang w:val="hu"/>
              </w:rPr>
              <w:t xml:space="preserve"> Ft / OP célérték a konstrukcióhoz kapcsolódóan: 26 086 fő = 3 070 000 Ft/fő)</w:t>
            </w:r>
          </w:p>
          <w:p w:rsidR="00961BD9" w:rsidRPr="00546690" w:rsidRDefault="00961BD9" w:rsidP="00C5795A">
            <w:pPr>
              <w:spacing w:after="0" w:line="240" w:lineRule="auto"/>
              <w:jc w:val="both"/>
              <w:rPr>
                <w:rFonts w:cs="Arial"/>
                <w:lang w:val="hu"/>
              </w:rPr>
            </w:pPr>
          </w:p>
          <w:p w:rsidR="00961BD9" w:rsidRPr="00546690" w:rsidRDefault="00961BD9" w:rsidP="00C5795A">
            <w:pPr>
              <w:spacing w:after="0" w:line="240" w:lineRule="auto"/>
              <w:jc w:val="both"/>
              <w:rPr>
                <w:rFonts w:cs="Arial"/>
                <w:lang w:val="hu"/>
              </w:rPr>
            </w:pPr>
            <w:r>
              <w:rPr>
                <w:rFonts w:cs="Arial"/>
                <w:lang w:val="hu"/>
              </w:rPr>
              <w:t>Megfelelt</w:t>
            </w:r>
            <w:r w:rsidRPr="00546690">
              <w:rPr>
                <w:rFonts w:cs="Arial"/>
                <w:lang w:val="hu"/>
              </w:rPr>
              <w:t xml:space="preserve">: amennyiben a projektben a RCO67 indikátorra tett célérték vállalás esetében az 1 főre eső támogatási kérelem </w:t>
            </w:r>
            <w:proofErr w:type="spellStart"/>
            <w:r w:rsidRPr="00546690">
              <w:rPr>
                <w:rFonts w:cs="Arial"/>
                <w:lang w:val="hu"/>
              </w:rPr>
              <w:t>benyújtáskori</w:t>
            </w:r>
            <w:proofErr w:type="spellEnd"/>
            <w:r w:rsidRPr="00546690">
              <w:rPr>
                <w:rFonts w:cs="Arial"/>
                <w:lang w:val="hu"/>
              </w:rPr>
              <w:t xml:space="preserve"> igényelt támogatási összeg 2 800 000 forint alatti.</w:t>
            </w:r>
          </w:p>
          <w:p w:rsidR="00961BD9" w:rsidRPr="00546690" w:rsidRDefault="00961BD9" w:rsidP="00C5795A">
            <w:pPr>
              <w:spacing w:after="0" w:line="240" w:lineRule="auto"/>
              <w:jc w:val="both"/>
              <w:rPr>
                <w:rFonts w:cs="Arial"/>
                <w:lang w:val="hu"/>
              </w:rPr>
            </w:pPr>
            <w:r>
              <w:rPr>
                <w:rFonts w:cs="Arial"/>
                <w:lang w:val="hu"/>
              </w:rPr>
              <w:t>Részben megfelelt</w:t>
            </w:r>
            <w:r w:rsidRPr="00546690">
              <w:rPr>
                <w:rFonts w:cs="Arial"/>
                <w:lang w:val="hu"/>
              </w:rPr>
              <w:t xml:space="preserve">: amennyiben a projektben a RCO67 indikátorra tett célérték vállalás esetében az 1 főre eső támogatási kérelem </w:t>
            </w:r>
            <w:proofErr w:type="spellStart"/>
            <w:r w:rsidRPr="00546690">
              <w:rPr>
                <w:rFonts w:cs="Arial"/>
                <w:lang w:val="hu"/>
              </w:rPr>
              <w:t>benyújtásakori</w:t>
            </w:r>
            <w:proofErr w:type="spellEnd"/>
            <w:r w:rsidRPr="00546690">
              <w:rPr>
                <w:rFonts w:cs="Arial"/>
                <w:lang w:val="hu"/>
              </w:rPr>
              <w:t xml:space="preserve"> igényelt támogatási összeg 2 800 000 – 3 070 000 forint.</w:t>
            </w:r>
          </w:p>
          <w:p w:rsidR="00961BD9" w:rsidRDefault="00961BD9" w:rsidP="00C5795A">
            <w:pPr>
              <w:spacing w:after="0" w:line="240" w:lineRule="auto"/>
              <w:jc w:val="both"/>
              <w:rPr>
                <w:rFonts w:cs="Arial"/>
                <w:lang w:val="hu"/>
              </w:rPr>
            </w:pPr>
            <w:r>
              <w:rPr>
                <w:rFonts w:cs="Arial"/>
                <w:lang w:val="hu"/>
              </w:rPr>
              <w:t>Nem megfelelt</w:t>
            </w:r>
            <w:r w:rsidRPr="00546690">
              <w:rPr>
                <w:rFonts w:cs="Arial"/>
                <w:lang w:val="hu"/>
              </w:rPr>
              <w:t xml:space="preserve">: amennyiben a projektben az RCO67 indikátorra tett célérték vállalás esetében az 1 főre eső támogatási kérelem </w:t>
            </w:r>
            <w:proofErr w:type="spellStart"/>
            <w:r w:rsidRPr="00546690">
              <w:rPr>
                <w:rFonts w:cs="Arial"/>
                <w:lang w:val="hu"/>
              </w:rPr>
              <w:t>benyújtásakori</w:t>
            </w:r>
            <w:proofErr w:type="spellEnd"/>
            <w:r w:rsidRPr="00546690">
              <w:rPr>
                <w:rFonts w:cs="Arial"/>
                <w:lang w:val="hu"/>
              </w:rPr>
              <w:t xml:space="preserve"> igényelt támogatási összeg meghaladja az 3 070 000 forintot.</w:t>
            </w:r>
          </w:p>
          <w:p w:rsidR="00961BD9" w:rsidRDefault="00961BD9" w:rsidP="00C5795A">
            <w:pPr>
              <w:spacing w:after="0" w:line="240" w:lineRule="auto"/>
              <w:jc w:val="both"/>
              <w:rPr>
                <w:rFonts w:cs="Arial"/>
                <w:lang w:val="hu"/>
              </w:rPr>
            </w:pPr>
          </w:p>
          <w:p w:rsidR="00961BD9" w:rsidRPr="00617C32" w:rsidRDefault="00961BD9" w:rsidP="00C5795A">
            <w:pPr>
              <w:spacing w:after="0" w:line="240" w:lineRule="auto"/>
              <w:jc w:val="both"/>
              <w:rPr>
                <w:lang w:val="hu"/>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t xml:space="preserve">Megfelelt / </w:t>
            </w:r>
            <w:r>
              <w:rPr>
                <w:rFonts w:eastAsia="Arial" w:cs="Arial"/>
                <w:lang w:val="hu"/>
              </w:rPr>
              <w:t xml:space="preserve">Részben megfelelt / </w:t>
            </w:r>
            <w:r w:rsidRPr="00D33A29">
              <w:rPr>
                <w:rFonts w:eastAsia="Arial" w:cs="Arial"/>
                <w:lang w:val="hu"/>
              </w:rPr>
              <w:t>Nem felelt meg</w:t>
            </w:r>
          </w:p>
        </w:tc>
      </w:tr>
      <w:tr w:rsidR="00961BD9" w:rsidRPr="00D33A29" w:rsidTr="00C5795A">
        <w:trPr>
          <w:trHeight w:val="600"/>
        </w:trPr>
        <w:tc>
          <w:tcPr>
            <w:tcW w:w="120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57100" w:rsidRDefault="00961BD9" w:rsidP="00961BD9">
            <w:pPr>
              <w:pStyle w:val="Listaszerbekezds"/>
              <w:numPr>
                <w:ilvl w:val="0"/>
                <w:numId w:val="9"/>
              </w:numPr>
              <w:spacing w:after="0" w:line="240" w:lineRule="auto"/>
              <w:jc w:val="center"/>
              <w:rPr>
                <w:rFonts w:ascii="Arial" w:hAnsi="Arial"/>
                <w:sz w:val="20"/>
              </w:rPr>
            </w:pPr>
          </w:p>
        </w:tc>
        <w:tc>
          <w:tcPr>
            <w:tcW w:w="204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Pr>
                <w:rFonts w:eastAsia="Arial" w:cs="Arial"/>
                <w:lang w:val="hu"/>
              </w:rPr>
              <w:t>Szakmai megalapozottság</w:t>
            </w:r>
          </w:p>
        </w:tc>
        <w:tc>
          <w:tcPr>
            <w:tcW w:w="425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546690" w:rsidRDefault="00961BD9" w:rsidP="00C5795A">
            <w:pPr>
              <w:spacing w:after="0" w:line="240" w:lineRule="auto"/>
              <w:jc w:val="both"/>
              <w:rPr>
                <w:rFonts w:eastAsia="Arial" w:cs="Arial"/>
                <w:lang w:val="hu"/>
              </w:rPr>
            </w:pPr>
            <w:r w:rsidRPr="00546690">
              <w:rPr>
                <w:rFonts w:eastAsia="Arial" w:cs="Arial"/>
                <w:lang w:val="hu"/>
              </w:rPr>
              <w:t xml:space="preserve">A hátrányos helyzetű vagy </w:t>
            </w:r>
          </w:p>
          <w:p w:rsidR="00961BD9" w:rsidRPr="00546690" w:rsidRDefault="00961BD9" w:rsidP="00C5795A">
            <w:pPr>
              <w:spacing w:after="0" w:line="240" w:lineRule="auto"/>
              <w:jc w:val="both"/>
              <w:rPr>
                <w:rFonts w:eastAsia="Arial" w:cs="Arial"/>
                <w:lang w:val="hu"/>
              </w:rPr>
            </w:pPr>
            <w:r w:rsidRPr="00546690">
              <w:rPr>
                <w:rFonts w:eastAsia="Arial" w:cs="Arial"/>
                <w:lang w:val="hu"/>
              </w:rPr>
              <w:t xml:space="preserve">halmozottan hátrányos helyzetű vagy </w:t>
            </w:r>
          </w:p>
          <w:p w:rsidR="00961BD9" w:rsidRPr="00D33A29" w:rsidRDefault="00961BD9" w:rsidP="00C5795A">
            <w:pPr>
              <w:spacing w:after="0" w:line="240" w:lineRule="auto"/>
              <w:jc w:val="both"/>
              <w:rPr>
                <w:rFonts w:eastAsia="Arial" w:cs="Arial"/>
                <w:lang w:val="hu"/>
              </w:rPr>
            </w:pPr>
            <w:r w:rsidRPr="00546690">
              <w:rPr>
                <w:rFonts w:eastAsia="Arial" w:cs="Arial"/>
                <w:lang w:val="hu"/>
              </w:rPr>
              <w:t xml:space="preserve">rendszeres gyermekvédelmi kedvezményben részesülő tanulók aránya a fejlesztésben érintett </w:t>
            </w:r>
            <w:proofErr w:type="spellStart"/>
            <w:r w:rsidRPr="00546690">
              <w:rPr>
                <w:rFonts w:eastAsia="Arial" w:cs="Arial"/>
                <w:lang w:val="hu"/>
              </w:rPr>
              <w:t>feladatellátási</w:t>
            </w:r>
            <w:proofErr w:type="spellEnd"/>
            <w:r w:rsidRPr="00546690">
              <w:rPr>
                <w:rFonts w:eastAsia="Arial" w:cs="Arial"/>
                <w:lang w:val="hu"/>
              </w:rPr>
              <w:t xml:space="preserve"> helyen a támogatási </w:t>
            </w:r>
            <w:r w:rsidRPr="00546690">
              <w:rPr>
                <w:rFonts w:eastAsia="Arial" w:cs="Arial"/>
                <w:lang w:val="hu"/>
              </w:rPr>
              <w:lastRenderedPageBreak/>
              <w:t>kérelem benyújtásakor a KIR legfrissebb adatbázisa alapján.</w:t>
            </w:r>
          </w:p>
        </w:tc>
        <w:tc>
          <w:tcPr>
            <w:tcW w:w="496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546690" w:rsidRDefault="00961BD9" w:rsidP="00C5795A">
            <w:pPr>
              <w:spacing w:after="0" w:line="240" w:lineRule="auto"/>
              <w:jc w:val="both"/>
              <w:rPr>
                <w:rFonts w:cs="Arial"/>
                <w:lang w:val="hu"/>
              </w:rPr>
            </w:pPr>
            <w:r>
              <w:rPr>
                <w:rFonts w:cs="Arial"/>
                <w:lang w:val="hu"/>
              </w:rPr>
              <w:lastRenderedPageBreak/>
              <w:t>Megfelelt:</w:t>
            </w:r>
            <w:r w:rsidRPr="00546690">
              <w:rPr>
                <w:rFonts w:cs="Arial"/>
                <w:lang w:val="hu"/>
              </w:rPr>
              <w:t xml:space="preserve"> </w:t>
            </w:r>
            <w:r>
              <w:rPr>
                <w:rFonts w:cs="Arial"/>
                <w:lang w:val="hu"/>
              </w:rPr>
              <w:t xml:space="preserve">valamennyi </w:t>
            </w:r>
            <w:proofErr w:type="spellStart"/>
            <w:r>
              <w:rPr>
                <w:rFonts w:cs="Arial"/>
                <w:lang w:val="hu"/>
              </w:rPr>
              <w:t>feladatellátási</w:t>
            </w:r>
            <w:proofErr w:type="spellEnd"/>
            <w:r>
              <w:rPr>
                <w:rFonts w:cs="Arial"/>
                <w:lang w:val="hu"/>
              </w:rPr>
              <w:t xml:space="preserve"> hely esetében a </w:t>
            </w:r>
            <w:r w:rsidRPr="00546690">
              <w:rPr>
                <w:rFonts w:cs="Arial"/>
                <w:lang w:val="hu"/>
              </w:rPr>
              <w:t>halmozottan hátrányos helyzetű tanulók aránya 25% feletti</w:t>
            </w:r>
            <w:r>
              <w:rPr>
                <w:rFonts w:cs="Arial"/>
                <w:lang w:val="hu"/>
              </w:rPr>
              <w:t>.</w:t>
            </w:r>
          </w:p>
          <w:p w:rsidR="00961BD9" w:rsidRPr="00546690" w:rsidRDefault="00961BD9" w:rsidP="00C5795A">
            <w:pPr>
              <w:spacing w:after="0" w:line="240" w:lineRule="auto"/>
              <w:jc w:val="both"/>
              <w:rPr>
                <w:rFonts w:cs="Arial"/>
                <w:lang w:val="hu"/>
              </w:rPr>
            </w:pPr>
            <w:r>
              <w:rPr>
                <w:rFonts w:cs="Arial"/>
                <w:lang w:val="hu"/>
              </w:rPr>
              <w:lastRenderedPageBreak/>
              <w:t>Részben megfelelt:</w:t>
            </w:r>
            <w:r w:rsidRPr="00546690">
              <w:rPr>
                <w:rFonts w:cs="Arial"/>
                <w:lang w:val="hu"/>
              </w:rPr>
              <w:t xml:space="preserve"> </w:t>
            </w:r>
            <w:r>
              <w:rPr>
                <w:rFonts w:cs="Arial"/>
                <w:lang w:val="hu"/>
              </w:rPr>
              <w:t xml:space="preserve">valamennyi </w:t>
            </w:r>
            <w:proofErr w:type="spellStart"/>
            <w:r>
              <w:rPr>
                <w:rFonts w:cs="Arial"/>
                <w:lang w:val="hu"/>
              </w:rPr>
              <w:t>feldatellátási</w:t>
            </w:r>
            <w:proofErr w:type="spellEnd"/>
            <w:r>
              <w:rPr>
                <w:rFonts w:cs="Arial"/>
                <w:lang w:val="hu"/>
              </w:rPr>
              <w:t xml:space="preserve"> hely esetében legalább a </w:t>
            </w:r>
            <w:r w:rsidRPr="00546690">
              <w:rPr>
                <w:rFonts w:cs="Arial"/>
                <w:lang w:val="hu"/>
              </w:rPr>
              <w:t>rendszeres gyermekvédelmi kedvezményben része</w:t>
            </w:r>
            <w:r>
              <w:rPr>
                <w:rFonts w:cs="Arial"/>
                <w:lang w:val="hu"/>
              </w:rPr>
              <w:t>sülő tanulók aránya 25% feletti.</w:t>
            </w:r>
          </w:p>
          <w:p w:rsidR="00961BD9" w:rsidRPr="00546690" w:rsidRDefault="00961BD9" w:rsidP="00C5795A">
            <w:pPr>
              <w:spacing w:after="0" w:line="240" w:lineRule="auto"/>
              <w:jc w:val="both"/>
              <w:rPr>
                <w:rFonts w:cs="Arial"/>
                <w:lang w:val="hu"/>
              </w:rPr>
            </w:pPr>
            <w:r>
              <w:rPr>
                <w:rFonts w:cs="Arial"/>
                <w:lang w:val="hu"/>
              </w:rPr>
              <w:t>Nem megfelelt:</w:t>
            </w:r>
            <w:r w:rsidRPr="00546690">
              <w:rPr>
                <w:rFonts w:cs="Arial"/>
                <w:lang w:val="hu"/>
              </w:rPr>
              <w:t xml:space="preserve"> </w:t>
            </w:r>
            <w:r>
              <w:rPr>
                <w:rFonts w:cs="Arial"/>
                <w:lang w:val="hu"/>
              </w:rPr>
              <w:t xml:space="preserve">valamennyi </w:t>
            </w:r>
            <w:proofErr w:type="spellStart"/>
            <w:r>
              <w:rPr>
                <w:rFonts w:cs="Arial"/>
                <w:lang w:val="hu"/>
              </w:rPr>
              <w:t>feladatellátási</w:t>
            </w:r>
            <w:proofErr w:type="spellEnd"/>
            <w:r>
              <w:rPr>
                <w:rFonts w:cs="Arial"/>
                <w:lang w:val="hu"/>
              </w:rPr>
              <w:t xml:space="preserve"> hely esetében a rendszeres gyermekvédelmi kedvezményben részesülő tanulók aránya </w:t>
            </w:r>
            <w:r w:rsidRPr="00546690">
              <w:rPr>
                <w:rFonts w:cs="Arial"/>
                <w:lang w:val="hu"/>
              </w:rPr>
              <w:t>25% alatti</w:t>
            </w:r>
            <w:r>
              <w:rPr>
                <w:rFonts w:cs="Arial"/>
                <w:lang w:val="hu"/>
              </w:rPr>
              <w:t>.</w:t>
            </w:r>
          </w:p>
          <w:p w:rsidR="00961BD9" w:rsidRDefault="00961BD9" w:rsidP="00C5795A">
            <w:pPr>
              <w:spacing w:after="0" w:line="240" w:lineRule="auto"/>
              <w:jc w:val="both"/>
              <w:rPr>
                <w:rFonts w:cs="Arial"/>
                <w:lang w:val="hu"/>
              </w:rPr>
            </w:pPr>
          </w:p>
          <w:p w:rsidR="00961BD9" w:rsidRDefault="00961BD9" w:rsidP="00C5795A">
            <w:pPr>
              <w:spacing w:after="0" w:line="240" w:lineRule="auto"/>
              <w:jc w:val="both"/>
              <w:rPr>
                <w:rFonts w:cs="Arial"/>
                <w:lang w:val="hu"/>
              </w:rPr>
            </w:pPr>
            <w:r>
              <w:rPr>
                <w:rFonts w:cs="Arial"/>
                <w:lang w:val="hu"/>
              </w:rPr>
              <w:t>A</w:t>
            </w:r>
            <w:r w:rsidRPr="00546690">
              <w:rPr>
                <w:rFonts w:cs="Arial"/>
                <w:lang w:val="hu"/>
              </w:rPr>
              <w:t xml:space="preserve">z értékelés során </w:t>
            </w:r>
            <w:proofErr w:type="spellStart"/>
            <w:r w:rsidRPr="00546690">
              <w:rPr>
                <w:rFonts w:cs="Arial"/>
                <w:lang w:val="hu"/>
              </w:rPr>
              <w:t>feladatellátási</w:t>
            </w:r>
            <w:proofErr w:type="spellEnd"/>
            <w:r w:rsidRPr="00546690">
              <w:rPr>
                <w:rFonts w:cs="Arial"/>
                <w:lang w:val="hu"/>
              </w:rPr>
              <w:t xml:space="preserve"> helyenként csak</w:t>
            </w:r>
            <w:r>
              <w:rPr>
                <w:rFonts w:cs="Arial"/>
                <w:lang w:val="hu"/>
              </w:rPr>
              <w:t xml:space="preserve"> egy kategória vehető figyelembe. </w:t>
            </w:r>
          </w:p>
          <w:p w:rsidR="00961BD9" w:rsidRDefault="00961BD9" w:rsidP="00C5795A">
            <w:pPr>
              <w:spacing w:after="0" w:line="240" w:lineRule="auto"/>
              <w:jc w:val="both"/>
              <w:rPr>
                <w:rFonts w:cs="Arial"/>
                <w:lang w:val="hu"/>
              </w:rPr>
            </w:pPr>
          </w:p>
          <w:p w:rsidR="00961BD9" w:rsidRPr="00D33A29" w:rsidRDefault="00961BD9" w:rsidP="00C5795A">
            <w:pPr>
              <w:spacing w:after="0" w:line="240" w:lineRule="auto"/>
              <w:jc w:val="both"/>
              <w:rPr>
                <w:rFonts w:cs="Arial"/>
                <w:lang w:val="hu"/>
              </w:rPr>
            </w:pPr>
            <w:r w:rsidRPr="00690C6D">
              <w:rPr>
                <w:rFonts w:cs="Arial"/>
              </w:rPr>
              <w:t>Részben megfelelt minősítés esetén a szakmai értékelő támogatási feltételt szabhat az adott szempont legkésőbb 1. mérföldkőig teljesülésére</w:t>
            </w:r>
            <w:r w:rsidRPr="00396A11">
              <w:rPr>
                <w:rFonts w:cs="Arial"/>
              </w:rPr>
              <w:t>.</w:t>
            </w:r>
          </w:p>
        </w:tc>
        <w:tc>
          <w:tcPr>
            <w:tcW w:w="170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rsidR="00961BD9" w:rsidRPr="00D33A29" w:rsidRDefault="00961BD9" w:rsidP="00C5795A">
            <w:pPr>
              <w:spacing w:after="0" w:line="240" w:lineRule="auto"/>
              <w:jc w:val="both"/>
              <w:rPr>
                <w:rFonts w:eastAsia="Arial" w:cs="Arial"/>
                <w:lang w:val="hu"/>
              </w:rPr>
            </w:pPr>
            <w:r w:rsidRPr="00D33A29">
              <w:rPr>
                <w:rFonts w:eastAsia="Arial" w:cs="Arial"/>
                <w:lang w:val="hu"/>
              </w:rPr>
              <w:lastRenderedPageBreak/>
              <w:t xml:space="preserve">Megfelelt / </w:t>
            </w:r>
            <w:r>
              <w:rPr>
                <w:rFonts w:eastAsia="Arial" w:cs="Arial"/>
                <w:lang w:val="hu"/>
              </w:rPr>
              <w:t xml:space="preserve">Részben megfelelt / </w:t>
            </w:r>
            <w:r w:rsidRPr="00D33A29">
              <w:rPr>
                <w:rFonts w:eastAsia="Arial" w:cs="Arial"/>
                <w:lang w:val="hu"/>
              </w:rPr>
              <w:t>Nem felelt meg</w:t>
            </w:r>
          </w:p>
        </w:tc>
      </w:tr>
    </w:tbl>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Default="00961BD9" w:rsidP="00961BD9">
      <w:pPr>
        <w:rPr>
          <w:rFonts w:cs="Arial"/>
          <w:b/>
          <w:sz w:val="24"/>
          <w:szCs w:val="24"/>
          <w:u w:val="single"/>
        </w:rPr>
      </w:pPr>
    </w:p>
    <w:p w:rsidR="00961BD9" w:rsidRPr="00961BD9" w:rsidRDefault="00961BD9" w:rsidP="00961BD9">
      <w:pPr>
        <w:widowControl w:val="0"/>
        <w:suppressAutoHyphens/>
        <w:jc w:val="center"/>
        <w:rPr>
          <w:rFonts w:eastAsia="DejaVu Sans" w:cs="Arial"/>
          <w:b/>
          <w:bCs/>
          <w:color w:val="auto"/>
          <w:sz w:val="32"/>
          <w:szCs w:val="32"/>
          <w:lang w:eastAsia="hu-HU" w:bidi="hi-IN"/>
        </w:rPr>
      </w:pPr>
      <w:proofErr w:type="spellStart"/>
      <w:r w:rsidRPr="00961BD9">
        <w:rPr>
          <w:rFonts w:eastAsia="DejaVu Sans" w:cs="Arial"/>
          <w:b/>
          <w:bCs/>
          <w:color w:val="auto"/>
          <w:sz w:val="32"/>
          <w:szCs w:val="32"/>
          <w:lang w:eastAsia="hu-HU" w:bidi="hi-IN"/>
        </w:rPr>
        <w:lastRenderedPageBreak/>
        <w:t>Területspecifikus</w:t>
      </w:r>
      <w:proofErr w:type="spellEnd"/>
      <w:r w:rsidRPr="00961BD9">
        <w:rPr>
          <w:rFonts w:eastAsia="DejaVu Sans" w:cs="Arial"/>
          <w:b/>
          <w:bCs/>
          <w:color w:val="auto"/>
          <w:sz w:val="32"/>
          <w:szCs w:val="32"/>
          <w:lang w:eastAsia="hu-HU" w:bidi="hi-IN"/>
        </w:rPr>
        <w:t xml:space="preserve"> pontozásos kiválasztási kritériumok</w:t>
      </w:r>
    </w:p>
    <w:p w:rsidR="00961BD9" w:rsidRPr="00961BD9" w:rsidRDefault="00961BD9" w:rsidP="00961BD9">
      <w:pPr>
        <w:widowControl w:val="0"/>
        <w:suppressAutoHyphens/>
        <w:jc w:val="center"/>
        <w:rPr>
          <w:rFonts w:eastAsia="DejaVu Sans" w:cs="Arial"/>
          <w:b/>
          <w:bCs/>
          <w:color w:val="auto"/>
          <w:sz w:val="32"/>
          <w:szCs w:val="32"/>
          <w:lang w:eastAsia="hu-HU" w:bidi="hi-IN"/>
        </w:rPr>
      </w:pPr>
      <w:proofErr w:type="gramStart"/>
      <w:r w:rsidRPr="00961BD9">
        <w:rPr>
          <w:rFonts w:eastAsia="DejaVu Sans" w:cs="Arial"/>
          <w:b/>
          <w:bCs/>
          <w:color w:val="auto"/>
          <w:sz w:val="32"/>
          <w:szCs w:val="32"/>
          <w:lang w:eastAsia="hu-HU" w:bidi="hi-IN"/>
        </w:rPr>
        <w:t>a</w:t>
      </w:r>
      <w:proofErr w:type="gramEnd"/>
      <w:r w:rsidRPr="00961BD9">
        <w:rPr>
          <w:rFonts w:eastAsia="DejaVu Sans" w:cs="Arial"/>
          <w:b/>
          <w:bCs/>
          <w:color w:val="auto"/>
          <w:sz w:val="32"/>
          <w:szCs w:val="32"/>
          <w:lang w:eastAsia="hu-HU" w:bidi="hi-IN"/>
        </w:rPr>
        <w:t xml:space="preserve"> TOP Plusz-3.3.3-23 kódszámú, </w:t>
      </w:r>
    </w:p>
    <w:p w:rsidR="00CF4390" w:rsidRDefault="00961BD9" w:rsidP="00CF4390">
      <w:pPr>
        <w:widowControl w:val="0"/>
        <w:suppressAutoHyphens/>
        <w:jc w:val="center"/>
        <w:rPr>
          <w:rFonts w:eastAsia="DejaVu Sans" w:cs="Arial"/>
          <w:b/>
          <w:bCs/>
          <w:color w:val="auto"/>
          <w:sz w:val="32"/>
          <w:szCs w:val="32"/>
          <w:lang w:eastAsia="hu-HU" w:bidi="hi-IN"/>
        </w:rPr>
      </w:pPr>
      <w:r w:rsidRPr="00961BD9">
        <w:rPr>
          <w:rFonts w:eastAsia="DejaVu Sans" w:cs="Arial"/>
          <w:b/>
          <w:bCs/>
          <w:color w:val="auto"/>
          <w:sz w:val="32"/>
          <w:szCs w:val="32"/>
          <w:lang w:eastAsia="hu-HU" w:bidi="hi-IN"/>
        </w:rPr>
        <w:t>Köznevelési infrastruktúra fejlesztése című felhívásban</w:t>
      </w:r>
    </w:p>
    <w:p w:rsidR="00CF4390" w:rsidRPr="00CF4390" w:rsidRDefault="00CF4390" w:rsidP="00CF4390">
      <w:pPr>
        <w:keepNext/>
        <w:keepLines/>
        <w:widowControl w:val="0"/>
        <w:suppressAutoHyphens/>
        <w:spacing w:before="480" w:after="0"/>
        <w:outlineLvl w:val="0"/>
        <w:rPr>
          <w:rFonts w:eastAsiaTheme="majorEastAsia" w:cs="Arial"/>
          <w:b/>
          <w:bCs/>
          <w:color w:val="auto"/>
          <w:lang w:eastAsia="zh-CN" w:bidi="hi-IN"/>
        </w:rPr>
      </w:pPr>
      <w:bookmarkStart w:id="0" w:name="_Toc143008531"/>
      <w:r w:rsidRPr="00CF4390">
        <w:rPr>
          <w:rFonts w:eastAsiaTheme="majorEastAsia" w:cs="Arial"/>
          <w:b/>
          <w:bCs/>
          <w:color w:val="auto"/>
          <w:lang w:eastAsia="zh-CN" w:bidi="hi-IN"/>
        </w:rPr>
        <w:t>Győr-Moson-Sopron vármegye</w:t>
      </w:r>
      <w:bookmarkEnd w:id="0"/>
    </w:p>
    <w:p w:rsidR="00CF4390" w:rsidRPr="00CF4390" w:rsidRDefault="00CF4390" w:rsidP="00CF4390">
      <w:pPr>
        <w:widowControl w:val="0"/>
        <w:suppressAutoHyphens/>
        <w:rPr>
          <w:rFonts w:eastAsia="DejaVu Sans" w:cs="Arial"/>
          <w:color w:val="auto"/>
          <w:lang w:eastAsia="zh-CN" w:bidi="hi-IN"/>
        </w:rPr>
      </w:pPr>
    </w:p>
    <w:tbl>
      <w:tblPr>
        <w:tblW w:w="4964" w:type="pct"/>
        <w:tblInd w:w="68"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0"/>
        <w:gridCol w:w="3685"/>
        <w:gridCol w:w="1559"/>
        <w:gridCol w:w="7719"/>
      </w:tblGrid>
      <w:tr w:rsidR="00CF4390" w:rsidRPr="00CF4390" w:rsidTr="00FE79F1">
        <w:trPr>
          <w:trHeight w:val="271"/>
          <w:tblHeader/>
        </w:trPr>
        <w:tc>
          <w:tcPr>
            <w:tcW w:w="328" w:type="pct"/>
            <w:shd w:val="clear" w:color="auto" w:fill="E0E0E0"/>
            <w:noWrap/>
            <w:vAlign w:val="center"/>
          </w:tcPr>
          <w:p w:rsidR="00CF4390" w:rsidRPr="00CF4390" w:rsidRDefault="00CF4390" w:rsidP="00CF4390">
            <w:pPr>
              <w:keepNext/>
              <w:widowControl w:val="0"/>
              <w:suppressAutoHyphens/>
              <w:spacing w:after="0" w:line="240" w:lineRule="auto"/>
              <w:jc w:val="center"/>
              <w:rPr>
                <w:rFonts w:eastAsia="DejaVu Sans" w:cs="Arial"/>
                <w:b/>
                <w:color w:val="auto"/>
                <w:lang w:eastAsia="zh-CN" w:bidi="hi-IN"/>
              </w:rPr>
            </w:pPr>
          </w:p>
        </w:tc>
        <w:tc>
          <w:tcPr>
            <w:tcW w:w="1328" w:type="pct"/>
            <w:shd w:val="clear" w:color="auto" w:fill="E0E0E0"/>
            <w:vAlign w:val="center"/>
            <w:hideMark/>
          </w:tcPr>
          <w:p w:rsidR="00CF4390" w:rsidRPr="00CF4390" w:rsidRDefault="00CF4390" w:rsidP="00CF4390">
            <w:pPr>
              <w:keepNext/>
              <w:widowControl w:val="0"/>
              <w:suppressAutoHyphens/>
              <w:spacing w:before="20" w:after="20" w:line="240" w:lineRule="auto"/>
              <w:jc w:val="center"/>
              <w:rPr>
                <w:rFonts w:eastAsia="DejaVu Sans" w:cs="Arial"/>
                <w:b/>
                <w:color w:val="auto"/>
                <w:lang w:eastAsia="zh-CN" w:bidi="hi-IN"/>
              </w:rPr>
            </w:pPr>
            <w:r w:rsidRPr="00CF4390">
              <w:rPr>
                <w:rFonts w:eastAsia="DejaVu Sans" w:cs="Arial"/>
                <w:b/>
                <w:color w:val="auto"/>
                <w:lang w:eastAsia="zh-CN" w:bidi="hi-IN"/>
              </w:rPr>
              <w:t>Értékelési szempont</w:t>
            </w:r>
          </w:p>
        </w:tc>
        <w:tc>
          <w:tcPr>
            <w:tcW w:w="562" w:type="pct"/>
            <w:shd w:val="clear" w:color="auto" w:fill="E0E0E0"/>
            <w:vAlign w:val="center"/>
            <w:hideMark/>
          </w:tcPr>
          <w:p w:rsidR="00CF4390" w:rsidRPr="00CF4390" w:rsidRDefault="00CF4390" w:rsidP="00CF4390">
            <w:pPr>
              <w:keepNext/>
              <w:widowControl w:val="0"/>
              <w:suppressAutoHyphens/>
              <w:spacing w:after="0" w:line="240" w:lineRule="auto"/>
              <w:jc w:val="center"/>
              <w:rPr>
                <w:rFonts w:eastAsia="DejaVu Sans" w:cs="Arial"/>
                <w:b/>
                <w:color w:val="auto"/>
                <w:lang w:eastAsia="zh-CN" w:bidi="hi-IN"/>
              </w:rPr>
            </w:pPr>
            <w:r w:rsidRPr="00CF4390">
              <w:rPr>
                <w:rFonts w:eastAsia="DejaVu Sans" w:cs="Arial"/>
                <w:b/>
                <w:color w:val="auto"/>
                <w:lang w:eastAsia="zh-CN" w:bidi="hi-IN"/>
              </w:rPr>
              <w:t>Adható pontszám</w:t>
            </w:r>
          </w:p>
        </w:tc>
        <w:tc>
          <w:tcPr>
            <w:tcW w:w="2782" w:type="pct"/>
            <w:shd w:val="clear" w:color="auto" w:fill="E0E0E0"/>
            <w:vAlign w:val="center"/>
          </w:tcPr>
          <w:p w:rsidR="00CF4390" w:rsidRPr="00CF4390" w:rsidRDefault="00CF4390" w:rsidP="00CF4390">
            <w:pPr>
              <w:keepNext/>
              <w:widowControl w:val="0"/>
              <w:suppressAutoHyphens/>
              <w:spacing w:after="0" w:line="240" w:lineRule="auto"/>
              <w:jc w:val="center"/>
              <w:rPr>
                <w:rFonts w:eastAsia="DejaVu Sans" w:cs="Arial"/>
                <w:b/>
                <w:color w:val="auto"/>
                <w:lang w:eastAsia="zh-CN" w:bidi="hi-IN"/>
              </w:rPr>
            </w:pPr>
            <w:r w:rsidRPr="00CF4390">
              <w:rPr>
                <w:rFonts w:eastAsia="DejaVu Sans" w:cs="Arial"/>
                <w:b/>
                <w:color w:val="auto"/>
                <w:lang w:eastAsia="zh-CN" w:bidi="hi-IN"/>
              </w:rPr>
              <w:t>Magyarázat</w:t>
            </w:r>
          </w:p>
        </w:tc>
      </w:tr>
      <w:tr w:rsidR="00CF4390" w:rsidRPr="00CF4390" w:rsidTr="00FE79F1">
        <w:trPr>
          <w:trHeight w:val="271"/>
        </w:trPr>
        <w:tc>
          <w:tcPr>
            <w:tcW w:w="328" w:type="pct"/>
            <w:tcBorders>
              <w:top w:val="double" w:sz="4" w:space="0" w:color="auto"/>
              <w:left w:val="double" w:sz="4" w:space="0" w:color="auto"/>
              <w:bottom w:val="single" w:sz="8" w:space="0" w:color="auto"/>
              <w:right w:val="single" w:sz="8" w:space="0" w:color="auto"/>
            </w:tcBorders>
            <w:noWrap/>
            <w:vAlign w:val="center"/>
          </w:tcPr>
          <w:p w:rsidR="00CF4390" w:rsidRPr="00CF4390" w:rsidRDefault="00CF4390" w:rsidP="00CF4390">
            <w:pPr>
              <w:keepNext/>
              <w:widowControl w:val="0"/>
              <w:suppressAutoHyphens/>
              <w:spacing w:after="0" w:line="240" w:lineRule="auto"/>
              <w:jc w:val="both"/>
              <w:rPr>
                <w:rFonts w:eastAsia="DejaVu Sans" w:cs="Arial"/>
                <w:b/>
                <w:color w:val="auto"/>
                <w:lang w:eastAsia="zh-CN" w:bidi="hi-IN"/>
              </w:rPr>
            </w:pPr>
            <w:r w:rsidRPr="00CF4390">
              <w:rPr>
                <w:rFonts w:eastAsia="DejaVu Sans" w:cs="Arial"/>
                <w:color w:val="auto"/>
                <w:lang w:eastAsia="zh-CN" w:bidi="hi-IN"/>
              </w:rPr>
              <w:t>0.</w:t>
            </w:r>
          </w:p>
        </w:tc>
        <w:tc>
          <w:tcPr>
            <w:tcW w:w="1328" w:type="pct"/>
            <w:tcBorders>
              <w:top w:val="double" w:sz="4" w:space="0" w:color="auto"/>
              <w:left w:val="nil"/>
              <w:bottom w:val="single" w:sz="8" w:space="0" w:color="auto"/>
              <w:right w:val="single" w:sz="8" w:space="0" w:color="auto"/>
            </w:tcBorders>
            <w:vAlign w:val="center"/>
          </w:tcPr>
          <w:p w:rsidR="00CF4390" w:rsidRPr="00CF4390" w:rsidRDefault="00CF4390" w:rsidP="00CF4390">
            <w:pPr>
              <w:keepNext/>
              <w:widowControl w:val="0"/>
              <w:suppressAutoHyphens/>
              <w:spacing w:before="20" w:after="20" w:line="240" w:lineRule="auto"/>
              <w:jc w:val="both"/>
              <w:rPr>
                <w:rFonts w:eastAsia="DejaVu Sans" w:cs="Arial"/>
                <w:b/>
                <w:color w:val="auto"/>
                <w:lang w:eastAsia="zh-CN" w:bidi="hi-IN"/>
              </w:rPr>
            </w:pPr>
            <w:r w:rsidRPr="00CF4390">
              <w:rPr>
                <w:rFonts w:eastAsia="DejaVu Sans" w:cs="Arial"/>
                <w:color w:val="auto"/>
                <w:lang w:eastAsia="zh-CN" w:bidi="hi-IN"/>
              </w:rPr>
              <w:t>A projekt tartalmi megfelelősége.</w:t>
            </w:r>
          </w:p>
        </w:tc>
        <w:tc>
          <w:tcPr>
            <w:tcW w:w="562" w:type="pct"/>
            <w:tcBorders>
              <w:top w:val="double" w:sz="4" w:space="0" w:color="auto"/>
              <w:left w:val="nil"/>
              <w:bottom w:val="single" w:sz="8" w:space="0" w:color="auto"/>
              <w:right w:val="single" w:sz="8" w:space="0" w:color="auto"/>
            </w:tcBorders>
            <w:vAlign w:val="center"/>
          </w:tcPr>
          <w:p w:rsidR="00CF4390" w:rsidRPr="00CF4390" w:rsidRDefault="00CF4390" w:rsidP="00CF4390">
            <w:pPr>
              <w:keepNext/>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0-43</w:t>
            </w:r>
          </w:p>
        </w:tc>
        <w:tc>
          <w:tcPr>
            <w:tcW w:w="2782" w:type="pct"/>
            <w:tcBorders>
              <w:top w:val="double" w:sz="4" w:space="0" w:color="auto"/>
              <w:left w:val="nil"/>
              <w:bottom w:val="single" w:sz="8" w:space="0" w:color="auto"/>
              <w:right w:val="double" w:sz="4" w:space="0" w:color="auto"/>
            </w:tcBorders>
            <w:vAlign w:val="center"/>
          </w:tcPr>
          <w:p w:rsidR="00CF4390" w:rsidRPr="00CF4390" w:rsidRDefault="00CF4390" w:rsidP="00CF4390">
            <w:pPr>
              <w:keepNext/>
              <w:widowControl w:val="0"/>
              <w:suppressAutoHyphens/>
              <w:spacing w:after="0" w:line="240" w:lineRule="auto"/>
              <w:jc w:val="both"/>
              <w:rPr>
                <w:rFonts w:eastAsia="DejaVu Sans" w:cs="Arial"/>
                <w:b/>
                <w:color w:val="auto"/>
                <w:lang w:eastAsia="zh-CN" w:bidi="hi-IN"/>
              </w:rPr>
            </w:pPr>
            <w:r w:rsidRPr="00CF4390">
              <w:rPr>
                <w:rFonts w:eastAsia="DejaVu Sans" w:cs="Arial"/>
                <w:color w:val="auto"/>
                <w:lang w:eastAsia="zh-CN" w:bidi="hi-IN"/>
              </w:rPr>
              <w:t>Az általános és felhívás-specifikus szövegesen értékelt releváns kiválasztási kritériumok alapján elért pontszám arányos összege.</w:t>
            </w:r>
          </w:p>
        </w:tc>
      </w:tr>
      <w:tr w:rsidR="00CF4390" w:rsidRPr="00CF4390" w:rsidTr="00FE79F1">
        <w:trPr>
          <w:trHeight w:val="271"/>
        </w:trPr>
        <w:tc>
          <w:tcPr>
            <w:tcW w:w="328" w:type="pct"/>
            <w:shd w:val="pct10" w:color="auto" w:fill="auto"/>
            <w:vAlign w:val="center"/>
          </w:tcPr>
          <w:p w:rsidR="00CF4390" w:rsidRPr="00CF4390" w:rsidRDefault="00CF4390" w:rsidP="00CF4390">
            <w:pPr>
              <w:widowControl w:val="0"/>
              <w:numPr>
                <w:ilvl w:val="0"/>
                <w:numId w:val="12"/>
              </w:numPr>
              <w:suppressAutoHyphens/>
              <w:spacing w:before="60" w:after="60" w:line="240" w:lineRule="auto"/>
              <w:contextualSpacing/>
              <w:rPr>
                <w:rFonts w:eastAsia="DejaVu Sans" w:cs="Arial"/>
                <w:b/>
                <w:bCs/>
                <w:color w:val="auto"/>
                <w:lang w:eastAsia="zh-CN" w:bidi="hi-IN"/>
              </w:rPr>
            </w:pPr>
          </w:p>
        </w:tc>
        <w:tc>
          <w:tcPr>
            <w:tcW w:w="4672" w:type="pct"/>
            <w:gridSpan w:val="3"/>
            <w:shd w:val="pct10" w:color="auto" w:fill="auto"/>
            <w:vAlign w:val="center"/>
          </w:tcPr>
          <w:p w:rsidR="00CF4390" w:rsidRPr="00CF4390" w:rsidRDefault="00CF4390" w:rsidP="00CF4390">
            <w:pPr>
              <w:widowControl w:val="0"/>
              <w:suppressAutoHyphens/>
              <w:spacing w:after="0" w:line="240" w:lineRule="auto"/>
              <w:jc w:val="center"/>
              <w:rPr>
                <w:rFonts w:eastAsia="DejaVu Sans" w:cs="Arial"/>
                <w:b/>
                <w:bCs/>
                <w:color w:val="auto"/>
                <w:lang w:eastAsia="zh-CN" w:bidi="hi-IN"/>
              </w:rPr>
            </w:pPr>
            <w:r w:rsidRPr="00CF4390">
              <w:rPr>
                <w:rFonts w:eastAsia="DejaVu Sans" w:cs="Arial"/>
                <w:b/>
                <w:bCs/>
                <w:color w:val="auto"/>
                <w:lang w:eastAsia="zh-CN" w:bidi="hi-IN"/>
              </w:rPr>
              <w:t>Hozzájárulás a megyei területfejlesztési program prioritásaihoz</w:t>
            </w:r>
          </w:p>
        </w:tc>
      </w:tr>
      <w:tr w:rsidR="00CF4390" w:rsidRPr="00CF4390" w:rsidTr="00FE79F1">
        <w:trPr>
          <w:trHeight w:val="271"/>
        </w:trPr>
        <w:tc>
          <w:tcPr>
            <w:tcW w:w="328" w:type="pct"/>
            <w:vAlign w:val="center"/>
          </w:tcPr>
          <w:p w:rsidR="00CF4390" w:rsidRPr="00CF4390" w:rsidRDefault="00CF4390" w:rsidP="00CF4390">
            <w:pPr>
              <w:widowControl w:val="0"/>
              <w:numPr>
                <w:ilvl w:val="1"/>
                <w:numId w:val="13"/>
              </w:numPr>
              <w:suppressAutoHyphens/>
              <w:spacing w:before="60" w:after="60" w:line="240" w:lineRule="auto"/>
              <w:contextualSpacing/>
              <w:rPr>
                <w:rFonts w:eastAsia="DejaVu Sans" w:cs="Arial"/>
                <w:color w:val="auto"/>
                <w:lang w:eastAsia="zh-CN" w:bidi="hi-IN"/>
              </w:rPr>
            </w:pPr>
          </w:p>
        </w:tc>
        <w:tc>
          <w:tcPr>
            <w:tcW w:w="1328" w:type="pct"/>
            <w:vAlign w:val="center"/>
          </w:tcPr>
          <w:p w:rsidR="00CF4390" w:rsidRPr="00CF4390" w:rsidRDefault="00CF4390" w:rsidP="00CF4390">
            <w:pPr>
              <w:widowControl w:val="0"/>
              <w:suppressAutoHyphens/>
              <w:spacing w:before="20" w:after="20" w:line="240" w:lineRule="auto"/>
              <w:jc w:val="both"/>
              <w:rPr>
                <w:rFonts w:eastAsia="DejaVu Sans" w:cs="Arial"/>
                <w:iCs/>
                <w:color w:val="auto"/>
                <w:lang w:eastAsia="zh-CN" w:bidi="hi-IN"/>
              </w:rPr>
            </w:pPr>
            <w:r w:rsidRPr="00CF4390">
              <w:rPr>
                <w:rFonts w:eastAsia="DejaVu Sans" w:cs="Arial"/>
                <w:iCs/>
                <w:color w:val="auto"/>
                <w:lang w:eastAsia="zh-CN" w:bidi="hi-IN"/>
              </w:rPr>
              <w:t>A tervezett projekt hozzájárulása a területfejlesztési program által meghatározott prioritásokhoz és az ezekhez rendelt intézkedésekhez</w:t>
            </w:r>
          </w:p>
        </w:tc>
        <w:tc>
          <w:tcPr>
            <w:tcW w:w="562" w:type="pct"/>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0/5/10</w:t>
            </w:r>
          </w:p>
        </w:tc>
        <w:tc>
          <w:tcPr>
            <w:tcW w:w="2782" w:type="pct"/>
          </w:tcPr>
          <w:p w:rsidR="00CF4390" w:rsidRPr="00CF4390" w:rsidRDefault="00CF4390" w:rsidP="00CF4390">
            <w:pPr>
              <w:widowControl w:val="0"/>
              <w:suppressAutoHyphens/>
              <w:spacing w:after="0" w:line="240" w:lineRule="auto"/>
              <w:jc w:val="both"/>
              <w:rPr>
                <w:rFonts w:eastAsia="DejaVu Sans" w:cs="Arial"/>
                <w:color w:val="auto"/>
                <w:lang w:eastAsia="zh-CN" w:bidi="hi-IN"/>
              </w:rPr>
            </w:pPr>
            <w:proofErr w:type="spellStart"/>
            <w:r w:rsidRPr="00CF4390">
              <w:rPr>
                <w:rFonts w:eastAsia="DejaVu Sans" w:cs="Arial"/>
                <w:color w:val="auto"/>
                <w:lang w:eastAsia="zh-CN" w:bidi="hi-IN"/>
              </w:rPr>
              <w:t>Győr-Moson-Sopon</w:t>
            </w:r>
            <w:proofErr w:type="spellEnd"/>
            <w:r w:rsidRPr="00CF4390">
              <w:rPr>
                <w:rFonts w:eastAsia="DejaVu Sans" w:cs="Arial"/>
                <w:color w:val="auto"/>
                <w:lang w:eastAsia="zh-CN" w:bidi="hi-IN"/>
              </w:rPr>
              <w:t xml:space="preserve"> Megyei Területfejlesztési Stratégiai Program 3. Prioritások azonosítása fejezet (28. oldaltól). A dokumentum elérhetősége:</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https://www.gymsmo.hu/data/files/2021/teruletfejlesztes_anyagok/GYMS_StrategiaiProgram_3.0_20210907_01.pdf</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Ha a tervezett projekt nem illeszkedik.</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5 pont: A tervezett projekt részletesen bemutatja az adott prioritáshoz és az ahhoz rendelt intézkedéshez való illeszkedést.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Prioritás 2: Versenyképes munkaerő (tudás, képzés, oktatás) (35. oldal)</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5 pont: A tervezett projekt részletesen bemutatja az adott prioritáshoz és az ahhoz rendelt intézkedéshez való illeszkedést.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Prioritás 6: Területi egyenlőtlenségek mérséklése, a kohézió és az együttműködés erősítése (68. oldal)</w:t>
            </w:r>
          </w:p>
        </w:tc>
      </w:tr>
      <w:tr w:rsidR="00CF4390" w:rsidRPr="00CF4390" w:rsidTr="00FE79F1">
        <w:trPr>
          <w:trHeight w:val="271"/>
        </w:trPr>
        <w:tc>
          <w:tcPr>
            <w:tcW w:w="328" w:type="pct"/>
            <w:vAlign w:val="center"/>
          </w:tcPr>
          <w:p w:rsidR="00CF4390" w:rsidRPr="00CF4390" w:rsidRDefault="00CF4390" w:rsidP="00CF4390">
            <w:pPr>
              <w:widowControl w:val="0"/>
              <w:numPr>
                <w:ilvl w:val="1"/>
                <w:numId w:val="13"/>
              </w:numPr>
              <w:suppressAutoHyphens/>
              <w:spacing w:before="60" w:after="60" w:line="240" w:lineRule="auto"/>
              <w:contextualSpacing/>
              <w:rPr>
                <w:rFonts w:eastAsia="DejaVu Sans" w:cs="Arial"/>
                <w:color w:val="auto"/>
                <w:lang w:eastAsia="zh-CN" w:bidi="hi-IN"/>
              </w:rPr>
            </w:pPr>
          </w:p>
        </w:tc>
        <w:tc>
          <w:tcPr>
            <w:tcW w:w="1328" w:type="pct"/>
            <w:vAlign w:val="center"/>
          </w:tcPr>
          <w:p w:rsidR="00CF4390" w:rsidRPr="00CF4390" w:rsidRDefault="00CF4390" w:rsidP="00CF4390">
            <w:pPr>
              <w:widowControl w:val="0"/>
              <w:suppressAutoHyphens/>
              <w:spacing w:before="20" w:after="20" w:line="240" w:lineRule="auto"/>
              <w:jc w:val="both"/>
              <w:rPr>
                <w:rFonts w:eastAsia="DejaVu Sans" w:cs="Arial"/>
                <w:iCs/>
                <w:color w:val="auto"/>
                <w:lang w:eastAsia="zh-CN" w:bidi="hi-IN"/>
              </w:rPr>
            </w:pPr>
            <w:r w:rsidRPr="00CF4390">
              <w:rPr>
                <w:rFonts w:eastAsia="DejaVu Sans" w:cs="Arial"/>
                <w:iCs/>
                <w:color w:val="auto"/>
                <w:lang w:eastAsia="zh-CN" w:bidi="hi-IN"/>
              </w:rPr>
              <w:t xml:space="preserve">Településtipizálás, illeszkedés az </w:t>
            </w:r>
            <w:proofErr w:type="spellStart"/>
            <w:r w:rsidRPr="00CF4390">
              <w:rPr>
                <w:rFonts w:eastAsia="DejaVu Sans" w:cs="Arial"/>
                <w:iCs/>
                <w:color w:val="auto"/>
                <w:lang w:eastAsia="zh-CN" w:bidi="hi-IN"/>
              </w:rPr>
              <w:t>ITP-hez</w:t>
            </w:r>
            <w:proofErr w:type="spellEnd"/>
          </w:p>
        </w:tc>
        <w:tc>
          <w:tcPr>
            <w:tcW w:w="562" w:type="pct"/>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0/1/2/3/4/5/6</w:t>
            </w:r>
          </w:p>
        </w:tc>
        <w:tc>
          <w:tcPr>
            <w:tcW w:w="2782" w:type="pct"/>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Vármegyei </w:t>
            </w:r>
            <w:proofErr w:type="spellStart"/>
            <w:r w:rsidRPr="00CF4390">
              <w:rPr>
                <w:rFonts w:eastAsia="DejaVu Sans" w:cs="Arial"/>
                <w:color w:val="auto"/>
                <w:lang w:eastAsia="zh-CN" w:bidi="hi-IN"/>
              </w:rPr>
              <w:t>ITP-ben</w:t>
            </w:r>
            <w:proofErr w:type="spellEnd"/>
            <w:r w:rsidRPr="00CF4390">
              <w:rPr>
                <w:rFonts w:eastAsia="DejaVu Sans" w:cs="Arial"/>
                <w:color w:val="auto"/>
                <w:lang w:eastAsia="zh-CN" w:bidi="hi-IN"/>
              </w:rPr>
              <w:t xml:space="preserve"> szereplő komplex település-fejlettségi mutató értékei alapján (2</w:t>
            </w:r>
            <w:proofErr w:type="gramStart"/>
            <w:r w:rsidRPr="00CF4390">
              <w:rPr>
                <w:rFonts w:eastAsia="DejaVu Sans" w:cs="Arial"/>
                <w:color w:val="auto"/>
                <w:lang w:eastAsia="zh-CN" w:bidi="hi-IN"/>
              </w:rPr>
              <w:t>.sz.</w:t>
            </w:r>
            <w:proofErr w:type="gramEnd"/>
            <w:r w:rsidRPr="00CF4390">
              <w:rPr>
                <w:rFonts w:eastAsia="DejaVu Sans" w:cs="Arial"/>
                <w:color w:val="auto"/>
                <w:lang w:eastAsia="zh-CN" w:bidi="hi-IN"/>
              </w:rPr>
              <w:t xml:space="preserve"> melléklet):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0 pont: 0,86 és afelett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1 pont: 0,81-0,85 között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2 pont: 0,76-0,80 között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3 pont: 0,71-0,75 között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0,66-0,70 között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5 pont: 0,61-0,65 között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6 pont: 0,65 alatt</w:t>
            </w:r>
          </w:p>
        </w:tc>
      </w:tr>
      <w:tr w:rsidR="00CF4390" w:rsidRPr="00CF4390" w:rsidTr="00FE79F1">
        <w:trPr>
          <w:trHeight w:val="271"/>
        </w:trPr>
        <w:tc>
          <w:tcPr>
            <w:tcW w:w="328" w:type="pct"/>
            <w:shd w:val="pct10" w:color="auto" w:fill="auto"/>
            <w:vAlign w:val="center"/>
          </w:tcPr>
          <w:p w:rsidR="00CF4390" w:rsidRPr="00CF4390" w:rsidRDefault="00CF4390" w:rsidP="00CF4390">
            <w:pPr>
              <w:widowControl w:val="0"/>
              <w:numPr>
                <w:ilvl w:val="0"/>
                <w:numId w:val="12"/>
              </w:numPr>
              <w:suppressAutoHyphens/>
              <w:spacing w:before="60" w:after="60" w:line="240" w:lineRule="auto"/>
              <w:contextualSpacing/>
              <w:rPr>
                <w:rFonts w:eastAsia="DejaVu Sans" w:cs="Arial"/>
                <w:b/>
                <w:bCs/>
                <w:color w:val="auto"/>
                <w:lang w:eastAsia="zh-CN" w:bidi="hi-IN"/>
              </w:rPr>
            </w:pPr>
          </w:p>
        </w:tc>
        <w:tc>
          <w:tcPr>
            <w:tcW w:w="4672" w:type="pct"/>
            <w:gridSpan w:val="3"/>
            <w:shd w:val="pct10" w:color="auto" w:fill="auto"/>
            <w:vAlign w:val="center"/>
          </w:tcPr>
          <w:p w:rsidR="00CF4390" w:rsidRPr="00CF4390" w:rsidRDefault="00CF4390" w:rsidP="00CF4390">
            <w:pPr>
              <w:widowControl w:val="0"/>
              <w:suppressAutoHyphens/>
              <w:spacing w:after="0" w:line="240" w:lineRule="auto"/>
              <w:jc w:val="center"/>
              <w:rPr>
                <w:rFonts w:eastAsia="DejaVu Sans" w:cs="Arial"/>
                <w:b/>
                <w:bCs/>
                <w:color w:val="auto"/>
                <w:lang w:eastAsia="zh-CN" w:bidi="hi-IN"/>
              </w:rPr>
            </w:pPr>
            <w:r w:rsidRPr="00CF4390">
              <w:rPr>
                <w:rFonts w:eastAsia="DejaVu Sans" w:cs="Arial"/>
                <w:b/>
                <w:bCs/>
                <w:color w:val="auto"/>
                <w:lang w:eastAsia="zh-CN" w:bidi="hi-IN"/>
              </w:rPr>
              <w:t>Területi egyenlőtlenségek</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bCs/>
                <w:iCs/>
                <w:color w:val="auto"/>
                <w:lang w:eastAsia="zh-CN" w:bidi="hi-IN"/>
              </w:rPr>
              <w:t xml:space="preserve">A fejlesztés megvalósításával érintett </w:t>
            </w:r>
            <w:proofErr w:type="spellStart"/>
            <w:r w:rsidRPr="00CF4390">
              <w:rPr>
                <w:rFonts w:eastAsia="DejaVu Sans" w:cs="Arial"/>
                <w:bCs/>
                <w:iCs/>
                <w:color w:val="auto"/>
                <w:lang w:eastAsia="zh-CN" w:bidi="hi-IN"/>
              </w:rPr>
              <w:t>feladatellátási</w:t>
            </w:r>
            <w:proofErr w:type="spellEnd"/>
            <w:r w:rsidRPr="00CF4390">
              <w:rPr>
                <w:rFonts w:eastAsia="DejaVu Sans" w:cs="Arial"/>
                <w:bCs/>
                <w:iCs/>
                <w:color w:val="auto"/>
                <w:lang w:eastAsia="zh-CN" w:bidi="hi-IN"/>
              </w:rPr>
              <w:t xml:space="preserve"> hely a 105/2015. (IV. 23.) Korm. rendelet 2. sz. melléklete alapján társadalmi-gazdasági és infrastrukturális szempontból kedvezményezett településen és/vagy jelentős munkanélküliséggel sújtott településen található.</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megalapozó dokumentumban szükséges bemutatni a megvalósítással érintett településeket és jogszabály szerinti besorolásuk bemutatását.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feltétel teljesülésének vizsgálata a 105/2015. (IV. 23.) Korm. rendelet 2. sz. melléklete alapján történik: http://njt.hu</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0 pont: amennyiben a projekt megvalósításával érintett </w:t>
            </w:r>
            <w:proofErr w:type="gramStart"/>
            <w:r w:rsidRPr="00CF4390">
              <w:rPr>
                <w:rFonts w:eastAsia="DejaVu Sans" w:cs="Arial"/>
                <w:color w:val="auto"/>
                <w:lang w:eastAsia="zh-CN" w:bidi="hi-IN"/>
              </w:rPr>
              <w:t>település(</w:t>
            </w:r>
            <w:proofErr w:type="spellStart"/>
            <w:proofErr w:type="gramEnd"/>
            <w:r w:rsidRPr="00CF4390">
              <w:rPr>
                <w:rFonts w:eastAsia="DejaVu Sans" w:cs="Arial"/>
                <w:color w:val="auto"/>
                <w:lang w:eastAsia="zh-CN" w:bidi="hi-IN"/>
              </w:rPr>
              <w:t>ek</w:t>
            </w:r>
            <w:proofErr w:type="spellEnd"/>
            <w:r w:rsidRPr="00CF4390">
              <w:rPr>
                <w:rFonts w:eastAsia="DejaVu Sans" w:cs="Arial"/>
                <w:color w:val="auto"/>
                <w:lang w:eastAsia="zh-CN" w:bidi="hi-IN"/>
              </w:rPr>
              <w:t>) egyik kategóriába sem sorolható(</w:t>
            </w:r>
            <w:proofErr w:type="spellStart"/>
            <w:r w:rsidRPr="00CF4390">
              <w:rPr>
                <w:rFonts w:eastAsia="DejaVu Sans" w:cs="Arial"/>
                <w:color w:val="auto"/>
                <w:lang w:eastAsia="zh-CN" w:bidi="hi-IN"/>
              </w:rPr>
              <w:t>ak</w:t>
            </w:r>
            <w:proofErr w:type="spellEnd"/>
            <w:r w:rsidRPr="00CF4390">
              <w:rPr>
                <w:rFonts w:eastAsia="DejaVu Sans" w:cs="Arial"/>
                <w:color w:val="auto"/>
                <w:lang w:eastAsia="zh-CN" w:bidi="hi-IN"/>
              </w:rPr>
              <w: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4 pont: a tervezett projekt a kormányrendeletben meghatározott kedvezményezett településen valósul meg, amely társadalmi-gazdasági és infrastrukturális szempontból kedvezményezett településnek és/vagy jelentős munkanélküliséggel sújtott településnek minősül. </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color w:val="auto"/>
                <w:lang w:eastAsia="zh-CN" w:bidi="hi-IN"/>
              </w:rPr>
            </w:pPr>
            <w:r w:rsidRPr="00CF4390">
              <w:rPr>
                <w:rFonts w:eastAsia="DejaVu Sans" w:cs="Arial"/>
                <w:color w:val="auto"/>
                <w:lang w:eastAsia="zh-CN" w:bidi="hi-IN"/>
              </w:rPr>
              <w:t xml:space="preserve">A tervezett projekt a 290/2014. (XI. 26.) </w:t>
            </w:r>
            <w:proofErr w:type="spellStart"/>
            <w:r w:rsidRPr="00CF4390">
              <w:rPr>
                <w:rFonts w:eastAsia="DejaVu Sans" w:cs="Arial"/>
                <w:color w:val="auto"/>
                <w:lang w:eastAsia="zh-CN" w:bidi="hi-IN"/>
              </w:rPr>
              <w:t>korm</w:t>
            </w:r>
            <w:proofErr w:type="spellEnd"/>
            <w:r w:rsidRPr="00CF4390">
              <w:rPr>
                <w:rFonts w:eastAsia="DejaVu Sans" w:cs="Arial"/>
                <w:color w:val="auto"/>
                <w:lang w:eastAsia="zh-CN" w:bidi="hi-IN"/>
              </w:rPr>
              <w:t>. rendelet alapján besorolt kedvezményezett járásba, illetve a Győr-Moson-Sopron Megyei Közgyűlés 8/2016. (II..26.) számú határozata értelmében regionális szempontból kedvezményezett járásba tartozó településen valósul meg.</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0/4/8</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megalapozó dokumentumban szükséges bemutatni a megvalósítással érintett településeket és jogszabály szerinti besorolásuk bemutatását.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feltétel teljesülésének vizsgálata a 290/2014. (XI. 26.) Korm. rendelet 3. sz. melléklete alapján történik: http://njt.hu</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A közgyűlési határozat az alábbi linken elérhető (https://www.gymsmo.hu/data/files/kozgyules/hatarozatok/2016/kh_2016_008.pdf)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A tervezett projekt nem kedvezményezett járásban található településen valósul meg.</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A tervezett projekt a vármegye által besorolt regionális szempontból kedvezményezett járáshoz tartozó településen valósul meg.</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8 pont: A tervezett projekt a 290/2014. (XI. 26.) </w:t>
            </w:r>
            <w:proofErr w:type="spellStart"/>
            <w:r w:rsidRPr="00CF4390">
              <w:rPr>
                <w:rFonts w:eastAsia="DejaVu Sans" w:cs="Arial"/>
                <w:color w:val="auto"/>
                <w:lang w:eastAsia="zh-CN" w:bidi="hi-IN"/>
              </w:rPr>
              <w:t>korm.rendelet</w:t>
            </w:r>
            <w:proofErr w:type="spellEnd"/>
            <w:r w:rsidRPr="00CF4390">
              <w:rPr>
                <w:rFonts w:eastAsia="DejaVu Sans" w:cs="Arial"/>
                <w:color w:val="auto"/>
                <w:lang w:eastAsia="zh-CN" w:bidi="hi-IN"/>
              </w:rPr>
              <w:t xml:space="preserve"> alapján meghatározott kedvezményezett járásban található településen valósul meg.</w:t>
            </w:r>
          </w:p>
        </w:tc>
      </w:tr>
      <w:tr w:rsidR="00CF4390" w:rsidRPr="00CF4390" w:rsidTr="00FE79F1">
        <w:trPr>
          <w:trHeight w:val="271"/>
        </w:trPr>
        <w:tc>
          <w:tcPr>
            <w:tcW w:w="328" w:type="pct"/>
            <w:shd w:val="pct10" w:color="auto" w:fill="auto"/>
            <w:vAlign w:val="center"/>
          </w:tcPr>
          <w:p w:rsidR="00CF4390" w:rsidRPr="00CF4390" w:rsidRDefault="00CF4390" w:rsidP="00CF4390">
            <w:pPr>
              <w:widowControl w:val="0"/>
              <w:numPr>
                <w:ilvl w:val="0"/>
                <w:numId w:val="12"/>
              </w:numPr>
              <w:suppressAutoHyphens/>
              <w:spacing w:before="60" w:after="60" w:line="240" w:lineRule="auto"/>
              <w:contextualSpacing/>
              <w:rPr>
                <w:rFonts w:eastAsia="DejaVu Sans" w:cs="Arial"/>
                <w:b/>
                <w:bCs/>
                <w:color w:val="auto"/>
                <w:lang w:eastAsia="zh-CN" w:bidi="hi-IN"/>
              </w:rPr>
            </w:pPr>
          </w:p>
        </w:tc>
        <w:tc>
          <w:tcPr>
            <w:tcW w:w="4672" w:type="pct"/>
            <w:gridSpan w:val="3"/>
            <w:shd w:val="pct10" w:color="auto" w:fill="auto"/>
            <w:vAlign w:val="center"/>
          </w:tcPr>
          <w:p w:rsidR="00CF4390" w:rsidRPr="00CF4390" w:rsidRDefault="00CF4390" w:rsidP="00CF4390">
            <w:pPr>
              <w:widowControl w:val="0"/>
              <w:suppressAutoHyphens/>
              <w:spacing w:after="0" w:line="240" w:lineRule="auto"/>
              <w:jc w:val="center"/>
              <w:rPr>
                <w:rFonts w:eastAsia="DejaVu Sans" w:cs="Arial"/>
                <w:b/>
                <w:bCs/>
                <w:color w:val="auto"/>
                <w:lang w:eastAsia="zh-CN" w:bidi="hi-IN"/>
              </w:rPr>
            </w:pPr>
            <w:r w:rsidRPr="00CF4390">
              <w:rPr>
                <w:rFonts w:eastAsia="DejaVu Sans" w:cs="Arial"/>
                <w:b/>
                <w:bCs/>
                <w:color w:val="auto"/>
                <w:lang w:eastAsia="zh-CN" w:bidi="hi-IN"/>
              </w:rPr>
              <w:t>Népességmegtartó képesség erősítése, élhető település kialakítása</w:t>
            </w:r>
          </w:p>
        </w:tc>
      </w:tr>
      <w:tr w:rsidR="00CF4390" w:rsidRPr="00CF4390" w:rsidTr="00FE79F1">
        <w:trPr>
          <w:trHeight w:val="271"/>
        </w:trPr>
        <w:tc>
          <w:tcPr>
            <w:tcW w:w="328" w:type="pct"/>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color w:val="auto"/>
                <w:lang w:eastAsia="zh-CN" w:bidi="hi-IN"/>
              </w:rPr>
              <w:t>Infrastrukturális fejlesztés esetén a projektben megújuló energiát hasznosító technológiák is alkalmazásra kerülnek.</w:t>
            </w:r>
          </w:p>
        </w:tc>
        <w:tc>
          <w:tcPr>
            <w:tcW w:w="562" w:type="pct"/>
          </w:tcPr>
          <w:p w:rsidR="00CF4390" w:rsidRPr="00CF4390" w:rsidRDefault="00CF4390" w:rsidP="00CF4390">
            <w:pPr>
              <w:widowControl w:val="0"/>
              <w:suppressAutoHyphens/>
              <w:spacing w:after="0" w:line="240" w:lineRule="auto"/>
              <w:jc w:val="center"/>
              <w:rPr>
                <w:rFonts w:eastAsia="DejaVu Sans" w:cs="Arial"/>
                <w:bCs/>
                <w:color w:val="auto"/>
                <w:lang w:eastAsia="zh-CN" w:bidi="hi-IN"/>
              </w:rPr>
            </w:pPr>
            <w:r w:rsidRPr="00CF4390">
              <w:rPr>
                <w:rFonts w:eastAsia="DejaVu Sans" w:cs="Arial"/>
                <w:color w:val="auto"/>
                <w:lang w:eastAsia="zh-CN" w:bidi="hi-IN"/>
              </w:rPr>
              <w:t>0/6</w:t>
            </w:r>
          </w:p>
        </w:tc>
        <w:tc>
          <w:tcPr>
            <w:tcW w:w="2782" w:type="pct"/>
          </w:tcPr>
          <w:p w:rsidR="00CF4390" w:rsidRPr="00CF4390" w:rsidRDefault="00CF4390" w:rsidP="00CF4390">
            <w:pPr>
              <w:widowControl w:val="0"/>
              <w:suppressAutoHyphens/>
              <w:spacing w:after="0" w:line="240" w:lineRule="auto"/>
              <w:jc w:val="both"/>
              <w:rPr>
                <w:rFonts w:eastAsia="DejaVu Sans" w:cs="Arial"/>
                <w:bCs/>
                <w:color w:val="auto"/>
                <w:lang w:eastAsia="zh-CN" w:bidi="hi-IN"/>
              </w:rPr>
            </w:pPr>
            <w:r w:rsidRPr="00CF4390">
              <w:rPr>
                <w:rFonts w:eastAsia="DejaVu Sans" w:cs="Arial"/>
                <w:bCs/>
                <w:color w:val="auto"/>
                <w:lang w:eastAsia="zh-CN" w:bidi="hi-IN"/>
              </w:rPr>
              <w:t>A szempontnak való megfelelés a projekt adatlap és a megalapozó dokumentum alapján kerül értékelésre.</w:t>
            </w:r>
          </w:p>
          <w:p w:rsidR="00CF4390" w:rsidRPr="00CF4390" w:rsidRDefault="00CF4390" w:rsidP="00CF4390">
            <w:pPr>
              <w:widowControl w:val="0"/>
              <w:suppressAutoHyphens/>
              <w:spacing w:after="0" w:line="240" w:lineRule="auto"/>
              <w:jc w:val="both"/>
              <w:rPr>
                <w:rFonts w:eastAsia="DejaVu Sans" w:cs="Arial"/>
                <w:bCs/>
                <w:color w:val="auto"/>
                <w:lang w:eastAsia="zh-CN" w:bidi="hi-IN"/>
              </w:rPr>
            </w:pPr>
            <w:r w:rsidRPr="00CF4390">
              <w:rPr>
                <w:rFonts w:eastAsia="DejaVu Sans" w:cs="Arial"/>
                <w:bCs/>
                <w:color w:val="auto"/>
                <w:lang w:eastAsia="zh-CN" w:bidi="hi-IN"/>
              </w:rPr>
              <w:t>0 pont: amennyiben a támogatást igénylő nem tervezi megújuló energiaforrások kialakítását a projektben, vagy nincs rá vonatkozó információ a támogatási kérelemben.</w:t>
            </w:r>
          </w:p>
          <w:p w:rsidR="00CF4390" w:rsidRPr="00CF4390" w:rsidRDefault="00CF4390" w:rsidP="00CF4390">
            <w:pPr>
              <w:widowControl w:val="0"/>
              <w:suppressAutoHyphens/>
              <w:spacing w:after="0" w:line="240" w:lineRule="auto"/>
              <w:jc w:val="both"/>
              <w:rPr>
                <w:rFonts w:eastAsia="DejaVu Sans" w:cs="Arial"/>
                <w:bCs/>
                <w:color w:val="auto"/>
                <w:lang w:eastAsia="zh-CN" w:bidi="hi-IN"/>
              </w:rPr>
            </w:pPr>
            <w:r w:rsidRPr="00CF4390">
              <w:rPr>
                <w:rFonts w:eastAsia="DejaVu Sans" w:cs="Arial"/>
                <w:bCs/>
                <w:color w:val="auto"/>
                <w:lang w:eastAsia="zh-CN" w:bidi="hi-IN"/>
              </w:rPr>
              <w:t>6 pont: amennyiben infrastrukturális fejlesztés esetén, a támogatást igénylő megújuló energiaforrások kialakítását tervezi a projektben.</w:t>
            </w:r>
          </w:p>
        </w:tc>
      </w:tr>
      <w:tr w:rsidR="00CF4390" w:rsidRPr="00CF4390" w:rsidTr="00FE79F1">
        <w:trPr>
          <w:trHeight w:val="271"/>
        </w:trPr>
        <w:tc>
          <w:tcPr>
            <w:tcW w:w="328" w:type="pct"/>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color w:val="auto"/>
                <w:lang w:eastAsia="zh-CN" w:bidi="hi-IN"/>
              </w:rPr>
              <w:t>A fejlesztéssel elérhető energiafelhasználás mértéke csökken a megelőző öt év átlagához képest.</w:t>
            </w:r>
          </w:p>
        </w:tc>
        <w:tc>
          <w:tcPr>
            <w:tcW w:w="562" w:type="pct"/>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0/2/4</w:t>
            </w:r>
          </w:p>
        </w:tc>
        <w:tc>
          <w:tcPr>
            <w:tcW w:w="2782" w:type="pct"/>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Az energiafelhasználás mértéke nem változik, illetve a csökkenés 10% alatt marad.</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2 pont: Az energiafelhasználás mértéke csökken (10% - 20% között).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Az energiafelhasználás mértéke csökken több, mint 20%-kal.</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color w:val="auto"/>
                <w:lang w:eastAsia="zh-CN" w:bidi="hi-IN"/>
              </w:rPr>
              <w:t>A lakónépesség száma</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0/4/8</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200 fő alatti a lakónépesség száma.</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lastRenderedPageBreak/>
              <w:t xml:space="preserve">4 pont: 200 - 1000 fő közötti a lakónépesség száma.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8 pont 1000 fő feletti a lakónépesség száma</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KSH helységnévtár 2023.01.01-i adatai alapján.</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bCs/>
                <w:iCs/>
                <w:color w:val="auto"/>
                <w:lang w:eastAsia="zh-CN" w:bidi="hi-IN"/>
              </w:rPr>
              <w:t>A tanulói létszáma az elmúlt 5 évben nem csökkent a támogatásban érintett vármegye demográfiai trendjeit meghaladó mértékben, illetve amelyeknek beiskolázási körzetében nincs más azonos típusú köznevelési feladatot ellátó, elérhető intézmény, vagy amelyek olyan településen találhatók, ahol csak egy általános iskolai feladatellátást végző köznevelési intézmény van.</w:t>
            </w:r>
          </w:p>
        </w:tc>
        <w:tc>
          <w:tcPr>
            <w:tcW w:w="562" w:type="pct"/>
            <w:shd w:val="clear" w:color="auto" w:fill="auto"/>
            <w:vAlign w:val="center"/>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 nem csökkent nagyobb mértékben/ vagy csak egy általános iskolai feladatellátást végző köznevelési intézmény található</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 csökkent</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A vármegye lakónépességénél a KSH 6.1.1. A lakónépesség nem szerint, 2023. január 1. (2001–)* adatbázisban elérhető adatokat kell figyelembe venni.</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bCs/>
                <w:iCs/>
                <w:color w:val="auto"/>
                <w:lang w:eastAsia="zh-CN" w:bidi="hi-IN"/>
              </w:rPr>
            </w:pPr>
            <w:r w:rsidRPr="00CF4390">
              <w:rPr>
                <w:rFonts w:eastAsia="DejaVu Sans" w:cs="Arial"/>
                <w:bCs/>
                <w:iCs/>
                <w:color w:val="auto"/>
                <w:lang w:eastAsia="zh-CN" w:bidi="hi-IN"/>
              </w:rPr>
              <w:t>A támogatási kérelemben megjelölt intézmény a 2014-2020-as programozási időszakban nem részesült infrastrukturális fejlesztést támogató hazai, vagy európai uniós támogatásban.</w:t>
            </w:r>
          </w:p>
        </w:tc>
        <w:tc>
          <w:tcPr>
            <w:tcW w:w="562" w:type="pct"/>
            <w:shd w:val="clear" w:color="auto" w:fill="auto"/>
            <w:vAlign w:val="center"/>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 részesült támogatásban</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 nem részesült támogatásban</w:t>
            </w:r>
          </w:p>
        </w:tc>
      </w:tr>
      <w:tr w:rsidR="00CF4390" w:rsidRPr="00CF4390" w:rsidTr="00FE79F1">
        <w:trPr>
          <w:trHeight w:val="271"/>
        </w:trPr>
        <w:tc>
          <w:tcPr>
            <w:tcW w:w="328" w:type="pct"/>
            <w:vAlign w:val="center"/>
          </w:tcPr>
          <w:p w:rsidR="00CF4390" w:rsidRPr="00CF4390" w:rsidRDefault="00CF4390" w:rsidP="00CF4390">
            <w:pPr>
              <w:widowControl w:val="0"/>
              <w:numPr>
                <w:ilvl w:val="0"/>
                <w:numId w:val="12"/>
              </w:numPr>
              <w:suppressAutoHyphens/>
              <w:spacing w:before="60" w:after="60" w:line="240" w:lineRule="auto"/>
              <w:contextualSpacing/>
              <w:rPr>
                <w:rFonts w:eastAsia="DejaVu Sans" w:cs="Arial"/>
                <w:b/>
                <w:bCs/>
                <w:color w:val="auto"/>
                <w:lang w:eastAsia="zh-CN" w:bidi="hi-IN"/>
              </w:rPr>
            </w:pPr>
          </w:p>
        </w:tc>
        <w:tc>
          <w:tcPr>
            <w:tcW w:w="4672" w:type="pct"/>
            <w:gridSpan w:val="3"/>
          </w:tcPr>
          <w:p w:rsidR="00CF4390" w:rsidRPr="00CF4390" w:rsidRDefault="00CF4390" w:rsidP="00CF4390">
            <w:pPr>
              <w:widowControl w:val="0"/>
              <w:suppressAutoHyphens/>
              <w:spacing w:after="0" w:line="240" w:lineRule="auto"/>
              <w:ind w:left="360"/>
              <w:rPr>
                <w:rFonts w:eastAsia="DejaVu Sans" w:cs="Arial"/>
                <w:b/>
                <w:bCs/>
                <w:color w:val="auto"/>
                <w:lang w:eastAsia="zh-CN" w:bidi="hi-IN"/>
              </w:rPr>
            </w:pPr>
            <w:r w:rsidRPr="00CF4390">
              <w:rPr>
                <w:rFonts w:eastAsia="DejaVu Sans" w:cs="Arial"/>
                <w:b/>
                <w:bCs/>
                <w:color w:val="auto"/>
                <w:lang w:eastAsia="zh-CN" w:bidi="hi-IN"/>
              </w:rPr>
              <w:t>Társadalmi kohézió erősítése</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color w:val="auto"/>
                <w:highlight w:val="yellow"/>
                <w:lang w:eastAsia="zh-CN" w:bidi="hi-IN"/>
              </w:rPr>
            </w:pPr>
            <w:r w:rsidRPr="00CF4390">
              <w:rPr>
                <w:rFonts w:eastAsia="DejaVu Sans" w:cs="Arial"/>
                <w:bCs/>
                <w:iCs/>
                <w:color w:val="auto"/>
                <w:lang w:eastAsia="zh-CN" w:bidi="hi-IN"/>
              </w:rPr>
              <w:t>Kollégium fejlesztése esetén a támogatási kérelemben bemutatásra és statisztikai adatokkal (KIR) alátámasztásra került, hogy a fejlesztendő intézmény hátrányos helyzetű vagy halmozottan hátrányos helyzetű vagy rendszeres gyermekvédelmi kedvezményben részesülő tanulókat is fogad.</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highlight w:val="yellow"/>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bCs/>
                <w:color w:val="auto"/>
                <w:lang w:eastAsia="zh-CN" w:bidi="hi-IN"/>
              </w:rPr>
            </w:pPr>
            <w:r w:rsidRPr="00CF4390">
              <w:rPr>
                <w:rFonts w:eastAsia="DejaVu Sans" w:cs="Arial"/>
                <w:bCs/>
                <w:color w:val="auto"/>
                <w:lang w:eastAsia="zh-CN" w:bidi="hi-IN"/>
              </w:rPr>
              <w:t xml:space="preserve">Hátrányos helyzetű és halmozottan hátrányos helyzetű és rendszeres gyermekvédelmi kedvezményben részesülő tanulók aránya a fejlesztésben érintett intézményben a támogatási kérelem benyújtásakor érvényes </w:t>
            </w:r>
            <w:proofErr w:type="spellStart"/>
            <w:r w:rsidRPr="00CF4390">
              <w:rPr>
                <w:rFonts w:eastAsia="DejaVu Sans" w:cs="Arial"/>
                <w:bCs/>
                <w:color w:val="auto"/>
                <w:lang w:eastAsia="zh-CN" w:bidi="hi-IN"/>
              </w:rPr>
              <w:t>KIR-ben</w:t>
            </w:r>
            <w:proofErr w:type="spellEnd"/>
            <w:r w:rsidRPr="00CF4390">
              <w:rPr>
                <w:rFonts w:eastAsia="DejaVu Sans" w:cs="Arial"/>
                <w:bCs/>
                <w:color w:val="auto"/>
                <w:lang w:eastAsia="zh-CN" w:bidi="hi-IN"/>
              </w:rPr>
              <w:t xml:space="preserve"> megadott adatok alapján </w:t>
            </w:r>
          </w:p>
          <w:p w:rsidR="00CF4390" w:rsidRPr="00CF4390" w:rsidRDefault="00CF4390" w:rsidP="00CF4390">
            <w:pPr>
              <w:widowControl w:val="0"/>
              <w:suppressAutoHyphens/>
              <w:spacing w:after="0" w:line="240" w:lineRule="auto"/>
              <w:jc w:val="both"/>
              <w:rPr>
                <w:rFonts w:eastAsia="DejaVu Sans" w:cs="Arial"/>
                <w:bCs/>
                <w:color w:val="auto"/>
                <w:lang w:eastAsia="zh-CN" w:bidi="hi-IN"/>
              </w:rPr>
            </w:pPr>
            <w:r w:rsidRPr="00CF4390">
              <w:rPr>
                <w:rFonts w:eastAsia="DejaVu Sans" w:cs="Arial"/>
                <w:bCs/>
                <w:color w:val="auto"/>
                <w:lang w:eastAsia="zh-CN" w:bidi="hi-IN"/>
              </w:rPr>
              <w:t>4 pont –20% vagy feletti</w:t>
            </w:r>
          </w:p>
          <w:p w:rsidR="00CF4390" w:rsidRPr="00CF4390" w:rsidRDefault="00CF4390" w:rsidP="00CF4390">
            <w:pPr>
              <w:widowControl w:val="0"/>
              <w:suppressAutoHyphens/>
              <w:spacing w:after="0" w:line="240" w:lineRule="auto"/>
              <w:jc w:val="both"/>
              <w:rPr>
                <w:rFonts w:eastAsia="DejaVu Sans" w:cs="Arial"/>
                <w:color w:val="auto"/>
                <w:highlight w:val="yellow"/>
                <w:lang w:eastAsia="zh-CN" w:bidi="hi-IN"/>
              </w:rPr>
            </w:pPr>
            <w:r w:rsidRPr="00CF4390">
              <w:rPr>
                <w:rFonts w:eastAsia="DejaVu Sans" w:cs="Arial"/>
                <w:bCs/>
                <w:color w:val="auto"/>
                <w:lang w:eastAsia="zh-CN" w:bidi="hi-IN"/>
              </w:rPr>
              <w:t>0 pont - 20% alatti</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color w:val="auto"/>
                <w:highlight w:val="yellow"/>
                <w:lang w:eastAsia="zh-CN" w:bidi="hi-IN"/>
              </w:rPr>
            </w:pPr>
            <w:r w:rsidRPr="00CF4390">
              <w:rPr>
                <w:rFonts w:eastAsia="DejaVu Sans" w:cs="Arial"/>
                <w:bCs/>
                <w:color w:val="auto"/>
                <w:lang w:eastAsia="zh-CN" w:bidi="hi-IN"/>
              </w:rPr>
              <w:t>A támogatási kérelem sajátos nevelési igényű gyermeket, tanulókat nevelő-oktató intézmények infrastrukturális fejlesztésére irányul.</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highlight w:val="yellow"/>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 igen</w:t>
            </w:r>
          </w:p>
          <w:p w:rsidR="00CF4390" w:rsidRPr="00CF4390" w:rsidRDefault="00CF4390" w:rsidP="00CF4390">
            <w:pPr>
              <w:widowControl w:val="0"/>
              <w:suppressAutoHyphens/>
              <w:spacing w:after="0" w:line="240" w:lineRule="auto"/>
              <w:jc w:val="both"/>
              <w:rPr>
                <w:rFonts w:eastAsia="DejaVu Sans" w:cs="Arial"/>
                <w:color w:val="auto"/>
                <w:highlight w:val="yellow"/>
                <w:lang w:eastAsia="zh-CN" w:bidi="hi-IN"/>
              </w:rPr>
            </w:pPr>
            <w:r w:rsidRPr="00CF4390">
              <w:rPr>
                <w:rFonts w:eastAsia="DejaVu Sans" w:cs="Arial"/>
                <w:color w:val="auto"/>
                <w:lang w:eastAsia="zh-CN" w:bidi="hi-IN"/>
              </w:rPr>
              <w:t>0 pont – nem</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color w:val="auto"/>
                <w:highlight w:val="yellow"/>
                <w:lang w:eastAsia="zh-CN" w:bidi="hi-IN"/>
              </w:rPr>
            </w:pPr>
            <w:r w:rsidRPr="00CF4390">
              <w:rPr>
                <w:rFonts w:eastAsia="DejaVu Sans" w:cs="Arial"/>
                <w:bCs/>
                <w:color w:val="auto"/>
                <w:lang w:eastAsia="zh-CN" w:bidi="hi-IN"/>
              </w:rPr>
              <w:t xml:space="preserve">A hátrányos helyzetű vagy halmozottan </w:t>
            </w:r>
            <w:r w:rsidRPr="00CF4390">
              <w:rPr>
                <w:rFonts w:eastAsia="DejaVu Sans" w:cs="Arial"/>
                <w:bCs/>
                <w:color w:val="auto"/>
                <w:lang w:eastAsia="zh-CN" w:bidi="hi-IN"/>
              </w:rPr>
              <w:lastRenderedPageBreak/>
              <w:t xml:space="preserve">hátrányos helyzetű vagy rendszeres gyermekvédelmi kedvezményben részesülő tanulók aránya a fejlesztésben érintett </w:t>
            </w:r>
            <w:proofErr w:type="spellStart"/>
            <w:r w:rsidRPr="00CF4390">
              <w:rPr>
                <w:rFonts w:eastAsia="DejaVu Sans" w:cs="Arial"/>
                <w:bCs/>
                <w:color w:val="auto"/>
                <w:lang w:eastAsia="zh-CN" w:bidi="hi-IN"/>
              </w:rPr>
              <w:t>feladatellátási</w:t>
            </w:r>
            <w:proofErr w:type="spellEnd"/>
            <w:r w:rsidRPr="00CF4390">
              <w:rPr>
                <w:rFonts w:eastAsia="DejaVu Sans" w:cs="Arial"/>
                <w:bCs/>
                <w:color w:val="auto"/>
                <w:lang w:eastAsia="zh-CN" w:bidi="hi-IN"/>
              </w:rPr>
              <w:t xml:space="preserve"> helyen a támogatási kérelem benyújtásakor a KIR legfrissebb adatbázisa alapján.</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highlight w:val="yellow"/>
                <w:lang w:eastAsia="zh-CN" w:bidi="hi-IN"/>
              </w:rPr>
            </w:pPr>
            <w:r w:rsidRPr="00CF4390">
              <w:rPr>
                <w:rFonts w:eastAsia="DejaVu Sans" w:cs="Arial"/>
                <w:color w:val="auto"/>
                <w:lang w:eastAsia="zh-CN" w:bidi="hi-IN"/>
              </w:rPr>
              <w:lastRenderedPageBreak/>
              <w:t>0/4/8/10</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10 pont - halmozottan hátrányos helyzetű tanulók aránya 25% feletti</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lastRenderedPageBreak/>
              <w:t xml:space="preserve">8 pont - hátrányos helyzetű tanulók aránya 25% feletti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4 pont - rendszeres gyermekvédelmi kedvezményben részesülő tanulók aránya 25% feletti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- 25% alatti</w:t>
            </w:r>
          </w:p>
          <w:p w:rsidR="00CF4390" w:rsidRPr="00CF4390" w:rsidRDefault="00CF4390" w:rsidP="00CF4390">
            <w:pPr>
              <w:widowControl w:val="0"/>
              <w:suppressAutoHyphens/>
              <w:spacing w:after="0" w:line="240" w:lineRule="auto"/>
              <w:jc w:val="both"/>
              <w:rPr>
                <w:rFonts w:eastAsia="DejaVu Sans" w:cs="Arial"/>
                <w:color w:val="auto"/>
                <w:highlight w:val="yellow"/>
                <w:lang w:eastAsia="zh-CN" w:bidi="hi-IN"/>
              </w:rPr>
            </w:pPr>
            <w:r w:rsidRPr="00CF4390">
              <w:rPr>
                <w:rFonts w:eastAsia="DejaVu Sans" w:cs="Arial"/>
                <w:color w:val="auto"/>
                <w:lang w:eastAsia="zh-CN" w:bidi="hi-IN"/>
              </w:rPr>
              <w:t xml:space="preserve">(az értékelés során </w:t>
            </w:r>
            <w:proofErr w:type="spellStart"/>
            <w:r w:rsidRPr="00CF4390">
              <w:rPr>
                <w:rFonts w:eastAsia="DejaVu Sans" w:cs="Arial"/>
                <w:color w:val="auto"/>
                <w:lang w:eastAsia="zh-CN" w:bidi="hi-IN"/>
              </w:rPr>
              <w:t>feladatellátási</w:t>
            </w:r>
            <w:proofErr w:type="spellEnd"/>
            <w:r w:rsidRPr="00CF4390">
              <w:rPr>
                <w:rFonts w:eastAsia="DejaVu Sans" w:cs="Arial"/>
                <w:color w:val="auto"/>
                <w:lang w:eastAsia="zh-CN" w:bidi="hi-IN"/>
              </w:rPr>
              <w:t xml:space="preserve"> helyenként csak egy kategória vehető figyelembe)</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bCs/>
                <w:color w:val="auto"/>
                <w:lang w:eastAsia="zh-CN" w:bidi="hi-IN"/>
              </w:rPr>
            </w:pPr>
            <w:r w:rsidRPr="00CF4390">
              <w:rPr>
                <w:rFonts w:eastAsia="DejaVu Sans" w:cs="Arial"/>
                <w:bCs/>
                <w:color w:val="auto"/>
                <w:lang w:eastAsia="zh-CN" w:bidi="hi-IN"/>
              </w:rPr>
              <w:t xml:space="preserve">Sajátos nevelési igényű gyermekek aránya a fejlesztésben érintett </w:t>
            </w:r>
            <w:proofErr w:type="spellStart"/>
            <w:r w:rsidRPr="00CF4390">
              <w:rPr>
                <w:rFonts w:eastAsia="DejaVu Sans" w:cs="Arial"/>
                <w:bCs/>
                <w:color w:val="auto"/>
                <w:lang w:eastAsia="zh-CN" w:bidi="hi-IN"/>
              </w:rPr>
              <w:t>feladatellátási</w:t>
            </w:r>
            <w:proofErr w:type="spellEnd"/>
            <w:r w:rsidRPr="00CF4390">
              <w:rPr>
                <w:rFonts w:eastAsia="DejaVu Sans" w:cs="Arial"/>
                <w:bCs/>
                <w:color w:val="auto"/>
                <w:lang w:eastAsia="zh-CN" w:bidi="hi-IN"/>
              </w:rPr>
              <w:t xml:space="preserve"> helyen a támogatási kérelem benyújtásakor a KIR legfrissebb adatbázisa alapján.</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 xml:space="preserve">4 pont - 5% vagy feletti </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- 5% alatti</w:t>
            </w:r>
          </w:p>
        </w:tc>
      </w:tr>
      <w:tr w:rsidR="00CF4390" w:rsidRPr="00CF4390" w:rsidTr="00FE79F1">
        <w:trPr>
          <w:trHeight w:val="271"/>
        </w:trPr>
        <w:tc>
          <w:tcPr>
            <w:tcW w:w="328" w:type="pct"/>
            <w:shd w:val="clear" w:color="auto" w:fill="auto"/>
            <w:vAlign w:val="center"/>
          </w:tcPr>
          <w:p w:rsidR="00CF4390" w:rsidRPr="00CF4390" w:rsidRDefault="00CF4390" w:rsidP="00CF4390">
            <w:pPr>
              <w:widowControl w:val="0"/>
              <w:numPr>
                <w:ilvl w:val="1"/>
                <w:numId w:val="12"/>
              </w:numPr>
              <w:suppressAutoHyphens/>
              <w:spacing w:before="60" w:after="60" w:line="240" w:lineRule="auto"/>
              <w:ind w:left="792"/>
              <w:contextualSpacing/>
              <w:rPr>
                <w:rFonts w:eastAsia="DejaVu Sans" w:cs="Arial"/>
                <w:bCs/>
                <w:color w:val="auto"/>
                <w:lang w:eastAsia="zh-CN" w:bidi="hi-IN"/>
              </w:rPr>
            </w:pPr>
          </w:p>
        </w:tc>
        <w:tc>
          <w:tcPr>
            <w:tcW w:w="1328" w:type="pct"/>
            <w:shd w:val="clear" w:color="auto" w:fill="auto"/>
            <w:vAlign w:val="center"/>
          </w:tcPr>
          <w:p w:rsidR="00CF4390" w:rsidRPr="00CF4390" w:rsidRDefault="00CF4390" w:rsidP="00CF4390">
            <w:pPr>
              <w:widowControl w:val="0"/>
              <w:suppressAutoHyphens/>
              <w:spacing w:before="20" w:after="20" w:line="240" w:lineRule="auto"/>
              <w:jc w:val="both"/>
              <w:rPr>
                <w:rFonts w:eastAsia="DejaVu Sans" w:cs="Arial"/>
                <w:bCs/>
                <w:color w:val="auto"/>
                <w:lang w:eastAsia="zh-CN" w:bidi="hi-IN"/>
              </w:rPr>
            </w:pPr>
            <w:r w:rsidRPr="00CF4390">
              <w:rPr>
                <w:rFonts w:eastAsia="DejaVu Sans" w:cs="Arial"/>
                <w:bCs/>
                <w:color w:val="auto"/>
                <w:lang w:eastAsia="zh-CN" w:bidi="hi-IN"/>
              </w:rPr>
              <w:t>A támogatási kérelem tartalmaz</w:t>
            </w:r>
          </w:p>
          <w:p w:rsidR="00CF4390" w:rsidRPr="00CF4390" w:rsidRDefault="00CF4390" w:rsidP="00CF4390">
            <w:pPr>
              <w:widowControl w:val="0"/>
              <w:suppressAutoHyphens/>
              <w:spacing w:before="20" w:after="20" w:line="240" w:lineRule="auto"/>
              <w:jc w:val="both"/>
              <w:rPr>
                <w:rFonts w:eastAsia="DejaVu Sans" w:cs="Arial"/>
                <w:bCs/>
                <w:color w:val="auto"/>
                <w:lang w:eastAsia="zh-CN" w:bidi="hi-IN"/>
              </w:rPr>
            </w:pPr>
            <w:r w:rsidRPr="00CF4390">
              <w:rPr>
                <w:rFonts w:eastAsia="DejaVu Sans" w:cs="Arial"/>
                <w:bCs/>
                <w:color w:val="auto"/>
                <w:lang w:eastAsia="zh-CN" w:bidi="hi-IN"/>
              </w:rPr>
              <w:t xml:space="preserve">beilleszkedési, tanulási, magatartási nehézséggel küzdő, és/vagy </w:t>
            </w:r>
          </w:p>
          <w:p w:rsidR="00CF4390" w:rsidRPr="00CF4390" w:rsidRDefault="00CF4390" w:rsidP="00CF4390">
            <w:pPr>
              <w:widowControl w:val="0"/>
              <w:suppressAutoHyphens/>
              <w:spacing w:before="20" w:after="20" w:line="240" w:lineRule="auto"/>
              <w:jc w:val="both"/>
              <w:rPr>
                <w:rFonts w:eastAsia="DejaVu Sans" w:cs="Arial"/>
                <w:bCs/>
                <w:color w:val="auto"/>
                <w:lang w:eastAsia="zh-CN" w:bidi="hi-IN"/>
              </w:rPr>
            </w:pPr>
            <w:r w:rsidRPr="00CF4390">
              <w:rPr>
                <w:rFonts w:eastAsia="DejaVu Sans" w:cs="Arial"/>
                <w:bCs/>
                <w:color w:val="auto"/>
                <w:lang w:eastAsia="zh-CN" w:bidi="hi-IN"/>
              </w:rPr>
              <w:t>sajátos nevelési igényű gyermekek, tanulók nevelését-oktatását, fejlesztését segítő tevékenységet.</w:t>
            </w:r>
          </w:p>
        </w:tc>
        <w:tc>
          <w:tcPr>
            <w:tcW w:w="562" w:type="pct"/>
            <w:shd w:val="clear" w:color="auto" w:fill="auto"/>
          </w:tcPr>
          <w:p w:rsidR="00CF4390" w:rsidRPr="00CF4390" w:rsidRDefault="00CF4390" w:rsidP="00CF4390">
            <w:pPr>
              <w:widowControl w:val="0"/>
              <w:suppressAutoHyphens/>
              <w:spacing w:after="0" w:line="240" w:lineRule="auto"/>
              <w:jc w:val="center"/>
              <w:rPr>
                <w:rFonts w:eastAsia="DejaVu Sans" w:cs="Arial"/>
                <w:color w:val="auto"/>
                <w:lang w:eastAsia="zh-CN" w:bidi="hi-IN"/>
              </w:rPr>
            </w:pPr>
            <w:r w:rsidRPr="00CF4390">
              <w:rPr>
                <w:rFonts w:eastAsia="DejaVu Sans" w:cs="Arial"/>
                <w:color w:val="auto"/>
                <w:lang w:eastAsia="zh-CN" w:bidi="hi-IN"/>
              </w:rPr>
              <w:t>0/4</w:t>
            </w:r>
          </w:p>
        </w:tc>
        <w:tc>
          <w:tcPr>
            <w:tcW w:w="2782" w:type="pct"/>
            <w:shd w:val="clear" w:color="auto" w:fill="auto"/>
          </w:tcPr>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4 pont - igen</w:t>
            </w:r>
          </w:p>
          <w:p w:rsidR="00CF4390" w:rsidRPr="00CF4390" w:rsidRDefault="00CF4390" w:rsidP="00CF4390">
            <w:pPr>
              <w:widowControl w:val="0"/>
              <w:suppressAutoHyphens/>
              <w:spacing w:after="0" w:line="240" w:lineRule="auto"/>
              <w:jc w:val="both"/>
              <w:rPr>
                <w:rFonts w:eastAsia="DejaVu Sans" w:cs="Arial"/>
                <w:color w:val="auto"/>
                <w:lang w:eastAsia="zh-CN" w:bidi="hi-IN"/>
              </w:rPr>
            </w:pPr>
            <w:r w:rsidRPr="00CF4390">
              <w:rPr>
                <w:rFonts w:eastAsia="DejaVu Sans" w:cs="Arial"/>
                <w:color w:val="auto"/>
                <w:lang w:eastAsia="zh-CN" w:bidi="hi-IN"/>
              </w:rPr>
              <w:t>0 pont - nem</w:t>
            </w:r>
          </w:p>
        </w:tc>
      </w:tr>
      <w:tr w:rsidR="00CF4390" w:rsidRPr="00CF4390" w:rsidTr="00FE79F1">
        <w:tblPrEx>
          <w:tblBorders>
            <w:bottom w:val="double" w:sz="4" w:space="0" w:color="auto"/>
            <w:insideH w:val="single" w:sz="6" w:space="0" w:color="auto"/>
            <w:insideV w:val="single" w:sz="6" w:space="0" w:color="auto"/>
          </w:tblBorders>
          <w:tblLook w:val="0000" w:firstRow="0" w:lastRow="0" w:firstColumn="0" w:lastColumn="0" w:noHBand="0" w:noVBand="0"/>
        </w:tblPrEx>
        <w:trPr>
          <w:trHeight w:val="271"/>
        </w:trPr>
        <w:tc>
          <w:tcPr>
            <w:tcW w:w="328" w:type="pct"/>
            <w:tcBorders>
              <w:top w:val="single" w:sz="6" w:space="0" w:color="auto"/>
              <w:bottom w:val="single" w:sz="6" w:space="0" w:color="auto"/>
            </w:tcBorders>
            <w:shd w:val="pct10" w:color="auto" w:fill="auto"/>
            <w:vAlign w:val="center"/>
          </w:tcPr>
          <w:p w:rsidR="00CF4390" w:rsidRPr="00CF4390" w:rsidRDefault="00CF4390" w:rsidP="00CF4390">
            <w:pPr>
              <w:widowControl w:val="0"/>
              <w:suppressAutoHyphens/>
              <w:autoSpaceDE w:val="0"/>
              <w:autoSpaceDN w:val="0"/>
              <w:adjustRightInd w:val="0"/>
              <w:spacing w:after="0" w:line="240" w:lineRule="auto"/>
              <w:rPr>
                <w:rFonts w:eastAsia="DejaVu Sans" w:cs="Arial"/>
                <w:b/>
                <w:bCs/>
                <w:color w:val="auto"/>
                <w:lang w:eastAsia="zh-CN" w:bidi="hi-IN"/>
              </w:rPr>
            </w:pPr>
          </w:p>
        </w:tc>
        <w:tc>
          <w:tcPr>
            <w:tcW w:w="1328" w:type="pct"/>
            <w:tcBorders>
              <w:top w:val="single" w:sz="6" w:space="0" w:color="auto"/>
              <w:bottom w:val="single" w:sz="6" w:space="0" w:color="auto"/>
            </w:tcBorders>
            <w:shd w:val="pct10" w:color="auto" w:fill="auto"/>
            <w:vAlign w:val="center"/>
          </w:tcPr>
          <w:p w:rsidR="00CF4390" w:rsidRPr="00CF4390" w:rsidRDefault="00CF4390" w:rsidP="00CF4390">
            <w:pPr>
              <w:widowControl w:val="0"/>
              <w:suppressAutoHyphens/>
              <w:autoSpaceDE w:val="0"/>
              <w:autoSpaceDN w:val="0"/>
              <w:adjustRightInd w:val="0"/>
              <w:spacing w:after="0" w:line="240" w:lineRule="auto"/>
              <w:rPr>
                <w:rFonts w:eastAsia="DejaVu Sans" w:cs="Arial"/>
                <w:b/>
                <w:bCs/>
                <w:color w:val="auto"/>
                <w:lang w:eastAsia="zh-CN" w:bidi="hi-IN"/>
              </w:rPr>
            </w:pPr>
            <w:r w:rsidRPr="00CF4390">
              <w:rPr>
                <w:rFonts w:eastAsia="DejaVu Sans" w:cs="Arial"/>
                <w:b/>
                <w:bCs/>
                <w:color w:val="auto"/>
                <w:lang w:eastAsia="zh-CN" w:bidi="hi-IN"/>
              </w:rPr>
              <w:t>Összesen:</w:t>
            </w:r>
          </w:p>
        </w:tc>
        <w:tc>
          <w:tcPr>
            <w:tcW w:w="562" w:type="pct"/>
            <w:tcBorders>
              <w:top w:val="single" w:sz="6" w:space="0" w:color="auto"/>
              <w:bottom w:val="single" w:sz="6" w:space="0" w:color="auto"/>
            </w:tcBorders>
            <w:shd w:val="pct10" w:color="auto" w:fill="auto"/>
            <w:vAlign w:val="center"/>
          </w:tcPr>
          <w:p w:rsidR="00CF4390" w:rsidRPr="00CF4390" w:rsidRDefault="00CF4390" w:rsidP="00CF4390">
            <w:pPr>
              <w:spacing w:after="0" w:line="240" w:lineRule="auto"/>
              <w:jc w:val="center"/>
              <w:rPr>
                <w:rFonts w:eastAsia="Calibri" w:cs="Arial"/>
                <w:b/>
                <w:color w:val="auto"/>
              </w:rPr>
            </w:pPr>
            <w:r w:rsidRPr="00CF4390">
              <w:rPr>
                <w:rFonts w:eastAsia="Calibri" w:cs="Arial"/>
                <w:b/>
                <w:color w:val="auto"/>
              </w:rPr>
              <w:t>123</w:t>
            </w:r>
          </w:p>
        </w:tc>
        <w:tc>
          <w:tcPr>
            <w:tcW w:w="2782" w:type="pct"/>
            <w:tcBorders>
              <w:top w:val="single" w:sz="6" w:space="0" w:color="auto"/>
              <w:bottom w:val="single" w:sz="6" w:space="0" w:color="auto"/>
            </w:tcBorders>
            <w:shd w:val="pct10" w:color="auto" w:fill="auto"/>
            <w:vAlign w:val="center"/>
          </w:tcPr>
          <w:p w:rsidR="00CF4390" w:rsidRPr="00CF4390" w:rsidRDefault="00CF4390" w:rsidP="00CF4390">
            <w:pPr>
              <w:widowControl w:val="0"/>
              <w:suppressAutoHyphens/>
              <w:spacing w:after="0" w:line="240" w:lineRule="auto"/>
              <w:rPr>
                <w:rFonts w:eastAsia="DejaVu Sans" w:cs="Arial"/>
                <w:b/>
                <w:bCs/>
                <w:color w:val="auto"/>
                <w:lang w:eastAsia="zh-CN" w:bidi="hi-IN"/>
              </w:rPr>
            </w:pPr>
          </w:p>
        </w:tc>
      </w:tr>
    </w:tbl>
    <w:p w:rsidR="00CF4390" w:rsidRPr="00CF4390" w:rsidRDefault="00CF4390" w:rsidP="00CF4390">
      <w:pPr>
        <w:keepNext/>
        <w:keepLines/>
        <w:widowControl w:val="0"/>
        <w:suppressAutoHyphens/>
        <w:spacing w:before="480" w:after="0"/>
        <w:outlineLvl w:val="0"/>
        <w:rPr>
          <w:rFonts w:eastAsiaTheme="majorEastAsia" w:cs="Arial"/>
          <w:b/>
          <w:bCs/>
          <w:color w:val="auto"/>
          <w:lang w:eastAsia="zh-CN" w:bidi="hi-IN"/>
        </w:rPr>
      </w:pPr>
      <w:bookmarkStart w:id="1" w:name="_GoBack"/>
      <w:bookmarkEnd w:id="1"/>
    </w:p>
    <w:sectPr w:rsidR="00CF4390" w:rsidRPr="00CF4390" w:rsidSect="00961BD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226FF"/>
    <w:multiLevelType w:val="hybridMultilevel"/>
    <w:tmpl w:val="37ECEB2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AB5745E"/>
    <w:multiLevelType w:val="multilevel"/>
    <w:tmpl w:val="AE3259F6"/>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176402"/>
    <w:multiLevelType w:val="hybridMultilevel"/>
    <w:tmpl w:val="C1EC248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15:restartNumberingAfterBreak="0">
    <w:nsid w:val="173756F0"/>
    <w:multiLevelType w:val="hybridMultilevel"/>
    <w:tmpl w:val="21CCF4E6"/>
    <w:lvl w:ilvl="0" w:tplc="FFFFFFFF">
      <w:start w:val="1"/>
      <w:numFmt w:val="decimal"/>
      <w:lvlText w:val="%1."/>
      <w:lvlJc w:val="left"/>
      <w:pPr>
        <w:ind w:left="360"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4" w15:restartNumberingAfterBreak="0">
    <w:nsid w:val="188F6C49"/>
    <w:multiLevelType w:val="multilevel"/>
    <w:tmpl w:val="05ACFD9A"/>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4725C0"/>
    <w:multiLevelType w:val="hybridMultilevel"/>
    <w:tmpl w:val="FC54E1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1FA7004"/>
    <w:multiLevelType w:val="hybridMultilevel"/>
    <w:tmpl w:val="879A9004"/>
    <w:lvl w:ilvl="0" w:tplc="39FAB1E2">
      <w:numFmt w:val="bullet"/>
      <w:lvlText w:val="-"/>
      <w:lvlJc w:val="left"/>
      <w:pPr>
        <w:ind w:left="360" w:hanging="360"/>
      </w:pPr>
      <w:rPr>
        <w:rFonts w:ascii="Franklin Gothic Book" w:eastAsia="Times New Roman" w:hAnsi="Franklin Gothic Book"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C2094A"/>
    <w:multiLevelType w:val="hybridMultilevel"/>
    <w:tmpl w:val="1D8E5064"/>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8" w15:restartNumberingAfterBreak="0">
    <w:nsid w:val="3E0D3392"/>
    <w:multiLevelType w:val="hybridMultilevel"/>
    <w:tmpl w:val="2AB0F9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EFC04E4"/>
    <w:multiLevelType w:val="hybridMultilevel"/>
    <w:tmpl w:val="7E064834"/>
    <w:lvl w:ilvl="0" w:tplc="39FAB1E2">
      <w:numFmt w:val="bullet"/>
      <w:lvlText w:val="-"/>
      <w:lvlJc w:val="left"/>
      <w:pPr>
        <w:ind w:left="770" w:hanging="360"/>
      </w:pPr>
      <w:rPr>
        <w:rFonts w:ascii="Franklin Gothic Book" w:eastAsia="Times New Roman" w:hAnsi="Franklin Gothic Book"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0" w15:restartNumberingAfterBreak="0">
    <w:nsid w:val="44472C46"/>
    <w:multiLevelType w:val="hybridMultilevel"/>
    <w:tmpl w:val="1D8E5064"/>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 w15:restartNumberingAfterBreak="0">
    <w:nsid w:val="466F657F"/>
    <w:multiLevelType w:val="multilevel"/>
    <w:tmpl w:val="05ACFD9A"/>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CF33C3E"/>
    <w:multiLevelType w:val="multilevel"/>
    <w:tmpl w:val="AE3259F6"/>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10"/>
  </w:num>
  <w:num w:numId="4">
    <w:abstractNumId w:val="6"/>
  </w:num>
  <w:num w:numId="5">
    <w:abstractNumId w:val="5"/>
  </w:num>
  <w:num w:numId="6">
    <w:abstractNumId w:val="8"/>
  </w:num>
  <w:num w:numId="7">
    <w:abstractNumId w:val="2"/>
  </w:num>
  <w:num w:numId="8">
    <w:abstractNumId w:val="3"/>
  </w:num>
  <w:num w:numId="9">
    <w:abstractNumId w:val="0"/>
  </w:num>
  <w:num w:numId="10">
    <w:abstractNumId w:val="1"/>
  </w:num>
  <w:num w:numId="11">
    <w:abstractNumId w:val="4"/>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355"/>
    <w:rsid w:val="000F2700"/>
    <w:rsid w:val="00961BD9"/>
    <w:rsid w:val="00AC2355"/>
    <w:rsid w:val="00CF4390"/>
    <w:rsid w:val="00DD3D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3E003-B97F-4198-B710-D8768E117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61BD9"/>
    <w:pPr>
      <w:spacing w:after="200" w:line="276" w:lineRule="auto"/>
    </w:pPr>
    <w:rPr>
      <w:rFonts w:ascii="Arial" w:hAnsi="Arial" w:cstheme="minorHAnsi"/>
      <w:color w:val="000000" w:themeColor="text1"/>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 Paragraph à moi,lista_2"/>
    <w:basedOn w:val="Norml"/>
    <w:link w:val="ListaszerbekezdsChar"/>
    <w:uiPriority w:val="34"/>
    <w:qFormat/>
    <w:rsid w:val="00961BD9"/>
    <w:pPr>
      <w:ind w:left="720"/>
      <w:contextualSpacing/>
    </w:pPr>
    <w:rPr>
      <w:rFonts w:ascii="Calibri" w:eastAsia="Calibri" w:hAnsi="Calibri" w:cs="Times New Roman"/>
      <w:color w:val="auto"/>
      <w:sz w:val="22"/>
      <w:szCs w:val="22"/>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basedOn w:val="Bekezdsalapbettpusa"/>
    <w:link w:val="Listaszerbekezds"/>
    <w:uiPriority w:val="34"/>
    <w:qFormat/>
    <w:locked/>
    <w:rsid w:val="00961BD9"/>
    <w:rPr>
      <w:rFonts w:ascii="Calibri" w:eastAsia="Calibri" w:hAnsi="Calibri" w:cs="Times New Roman"/>
    </w:rPr>
  </w:style>
  <w:style w:type="table" w:customStyle="1" w:styleId="Rcsostblzat1">
    <w:name w:val="Rácsos táblázat1"/>
    <w:basedOn w:val="Normltblzat"/>
    <w:qFormat/>
    <w:rsid w:val="00961BD9"/>
    <w:pPr>
      <w:spacing w:after="0" w:line="240" w:lineRule="auto"/>
    </w:pPr>
    <w:rPr>
      <w:rFonts w:ascii="Times New Roman" w:eastAsia="Times New Roman" w:hAnsi="Times New Roman" w:cs="Times New Roman"/>
      <w:sz w:val="20"/>
      <w:szCs w:val="20"/>
      <w:lang w:val="en-US" w:eastAsia="hu-H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A38AB-6242-430F-8813-22F3B388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4311</Words>
  <Characters>29748</Characters>
  <Application>Microsoft Office Word</Application>
  <DocSecurity>0</DocSecurity>
  <Lines>247</Lines>
  <Paragraphs>67</Paragraphs>
  <ScaleCrop>false</ScaleCrop>
  <Company>Egységes InfraStruktúra</Company>
  <LinksUpToDate>false</LinksUpToDate>
  <CharactersWithSpaces>33992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Vadas Anett</dc:creator>
  <cp:keywords/>
  <dc:description/>
  <cp:lastModifiedBy>Vadas Anett</cp:lastModifiedBy>
  <cp:revision>4</cp:revision>
  <dcterms:created xsi:type="dcterms:W3CDTF">2024-01-26T13:16:00Z</dcterms:created>
  <dcterms:modified xsi:type="dcterms:W3CDTF">2024-01-30T11:48:00Z</dcterms:modified>
</cp:coreProperties>
</file>