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CAF" w:rsidRPr="00D72CAF" w:rsidRDefault="00D72CAF" w:rsidP="00D72CAF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bookmarkStart w:id="0" w:name="_Toc152055726"/>
      <w:r w:rsidRPr="00D72CAF">
        <w:rPr>
          <w:rFonts w:cs="Arial"/>
          <w:b/>
          <w:bCs/>
          <w:sz w:val="24"/>
          <w:szCs w:val="24"/>
          <w:u w:val="single"/>
        </w:rPr>
        <w:t xml:space="preserve">II. </w:t>
      </w:r>
      <w:proofErr w:type="spellStart"/>
      <w:r w:rsidRPr="00D72CAF">
        <w:rPr>
          <w:rFonts w:cs="Arial"/>
          <w:b/>
          <w:bCs/>
          <w:sz w:val="24"/>
          <w:szCs w:val="24"/>
          <w:u w:val="single"/>
        </w:rPr>
        <w:t>Felhívásspecifikus</w:t>
      </w:r>
      <w:proofErr w:type="spellEnd"/>
      <w:r w:rsidRPr="00D72CAF">
        <w:rPr>
          <w:rFonts w:cs="Arial"/>
          <w:b/>
          <w:bCs/>
          <w:sz w:val="24"/>
          <w:szCs w:val="24"/>
          <w:u w:val="single"/>
        </w:rPr>
        <w:t xml:space="preserve"> kiválasztási kritériumok</w:t>
      </w:r>
    </w:p>
    <w:p w:rsidR="00D72CAF" w:rsidRPr="00D72CAF" w:rsidRDefault="00D72CAF" w:rsidP="00D72CAF">
      <w:pPr>
        <w:keepNext/>
        <w:spacing w:before="240" w:line="240" w:lineRule="auto"/>
        <w:jc w:val="both"/>
        <w:rPr>
          <w:rFonts w:cs="Arial"/>
        </w:rPr>
      </w:pPr>
      <w:r w:rsidRPr="00D72CAF">
        <w:rPr>
          <w:rFonts w:cs="Arial"/>
        </w:rPr>
        <w:t xml:space="preserve">Kizárólag az általános kiválasztási kritériumokat kiegészítő, </w:t>
      </w:r>
      <w:proofErr w:type="spellStart"/>
      <w:r w:rsidRPr="00D72CAF">
        <w:rPr>
          <w:rFonts w:cs="Arial"/>
        </w:rPr>
        <w:t>felhívásspecifikus</w:t>
      </w:r>
      <w:proofErr w:type="spellEnd"/>
      <w:r w:rsidRPr="00D72CAF">
        <w:rPr>
          <w:rFonts w:cs="Arial"/>
        </w:rPr>
        <w:t xml:space="preserve"> kiválasztási kritériumok kerülnek felsorolásra.</w:t>
      </w:r>
    </w:p>
    <w:p w:rsidR="00B32F22" w:rsidRPr="00B32F22" w:rsidRDefault="00B32F22" w:rsidP="00B32F22">
      <w:pPr>
        <w:keepNext/>
        <w:keepLines/>
        <w:spacing w:before="240" w:after="0" w:line="276" w:lineRule="auto"/>
        <w:jc w:val="center"/>
        <w:outlineLvl w:val="0"/>
        <w:rPr>
          <w:rFonts w:asciiTheme="majorHAnsi" w:eastAsiaTheme="majorEastAsia" w:hAnsiTheme="majorHAnsi" w:cs="Arial"/>
          <w:b/>
          <w:color w:val="2E74B5" w:themeColor="accent1" w:themeShade="BF"/>
          <w:sz w:val="24"/>
          <w:szCs w:val="24"/>
        </w:rPr>
      </w:pPr>
      <w:r w:rsidRPr="00B32F22"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  <w:t>TOP_Plusz-3.3.1-21 Gyermeknevelést támogató humán infrastruktúra fejlesztése</w:t>
      </w:r>
      <w:bookmarkEnd w:id="0"/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Felhívás célja, tartalma azonosítása: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Magyarország továbbfejleszti a gyermekek számára a napközbeni elhelyezést biztosító intézmények kapacitásait, ezáltal az egyenlő esélyű hozzáférhetőség javítását; valamint által nyújtott szolgáltatások minőségét. A Felhívás keretében támogathatóak a gyermekjóléti alapellátások közül a bölcsődei ellátási formák (bölcsőde, mini bölcsőde, családi bölcsőde), valamint az óvodai intézmények infrastruktúra fejlesztése és eszközbeszerzése.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b/>
          <w:bCs/>
          <w:color w:val="000000" w:themeColor="text1"/>
          <w:sz w:val="20"/>
          <w:szCs w:val="20"/>
        </w:rPr>
        <w:t>Bölcsődefejlesztés: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sz w:val="20"/>
          <w:szCs w:val="20"/>
          <w:lang w:eastAsia="hu-HU"/>
        </w:rPr>
      </w:pPr>
      <w:r w:rsidRPr="00B32F22">
        <w:rPr>
          <w:rFonts w:ascii="Arial" w:hAnsi="Arial" w:cs="Arial"/>
          <w:sz w:val="20"/>
          <w:szCs w:val="20"/>
          <w:lang w:eastAsia="hu-HU"/>
        </w:rPr>
        <w:t>A bölcsődei nevelés középpontjában a kisgyermek és közvetett módon a kisgyermeket nevelő családok állnak. A bölcsődei nevelés célja, hogy a kisgyermekek elsajátítsák azokat a készségeket, képességeket, amelyek segítik őket abban, hogy hatékonyan és kiegyensúlyozottan viselkedjenek saját kulturális környezetükben és sikeresen alkalmazkodjanak annak változásaihoz.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sz w:val="20"/>
          <w:szCs w:val="20"/>
          <w:lang w:eastAsia="hu-HU"/>
        </w:rPr>
        <w:t xml:space="preserve">A bölcsődei nevelés további célja, hogy a kora gyermekkori intervenció szemléletének széles körű értelmezésével összhangban minden kisgyermekre és családjára kiterjedő prevenciós tevékenységet folytasson. A bölcsődei ellátást nyújtó intézmény, szolgáltató családbarát intézményként, szolgáltatásként hozzájárul a családok életminőségének javításához, a szülők munkavállalási esélyeinek növeléséhez. </w:t>
      </w:r>
      <w:r w:rsidRPr="00B32F22">
        <w:rPr>
          <w:rFonts w:ascii="Arial" w:hAnsi="Arial" w:cs="Arial"/>
          <w:color w:val="000000" w:themeColor="text1"/>
          <w:sz w:val="20"/>
          <w:szCs w:val="20"/>
        </w:rPr>
        <w:t>A felhívás a bölcsődei ellátási formákhoz (bölcsőde, mini bölcsőde, családi bölcsőde) való hozzáférés javítását és az általuk nyújtott szolgáltatások minőségi fejlesztését segíti elő.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A felhívás az új bölcsődei férőhelyek létrehozását a Helyreállítási és 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Ellenállóképességi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Eszköztől (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Recovery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Resilience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Facility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>, RRF) lehatároltan támogatja.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Az RRF a 3000 fő vagy afölötti lakónépességű települések esetén kizárólag új bölcsődei/mini bölcsődei/családi bölcsődei férőhelyek létrehozást támogatja új intézmények/szolgáltatások létrehozásával, vagy meglévő intézmények legalább egy csoportszobával való férőhelybővítésével vagy új családi bölcsőde létrehozásával. Az RRF keretére az egyházak és az önkormányzatok pályázhatnak, amennyiben a fejlesztéssel érintett település lakosságszáma eléri, vagy meghaladja a 3000 főt.</w:t>
      </w:r>
    </w:p>
    <w:p w:rsidR="00B32F22" w:rsidRPr="00B32F22" w:rsidRDefault="00B32F22" w:rsidP="00B32F22">
      <w:pPr>
        <w:keepNext/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Az RRF lehatárolást figyelembe véve a felhívás keretében támogatható:</w:t>
      </w:r>
    </w:p>
    <w:p w:rsidR="00B32F22" w:rsidRPr="00B32F22" w:rsidRDefault="00B32F22" w:rsidP="00B32F22">
      <w:pPr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meglévő bölcsődei, mini bölcsődei, családi bölcsődei férőhelyek fejlesztése lakónépesség korlátozás nélkül;</w:t>
      </w:r>
    </w:p>
    <w:p w:rsidR="00B32F22" w:rsidRPr="00B32F22" w:rsidRDefault="00B32F22" w:rsidP="00B32F22">
      <w:pPr>
        <w:numPr>
          <w:ilvl w:val="0"/>
          <w:numId w:val="5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 xml:space="preserve">új </w:t>
      </w:r>
      <w:r w:rsidRPr="00B32F22">
        <w:rPr>
          <w:rFonts w:ascii="Arial" w:eastAsia="Calibri" w:hAnsi="Arial" w:cs="Arial"/>
          <w:bCs/>
          <w:sz w:val="20"/>
          <w:szCs w:val="20"/>
        </w:rPr>
        <w:t>bölcsődei/mini bölcsődei/családi bölcsődei férőhely létrehozása</w:t>
      </w:r>
      <w:r w:rsidRPr="00B32F22">
        <w:rPr>
          <w:rFonts w:ascii="Arial" w:eastAsia="Calibri" w:hAnsi="Arial" w:cs="Arial"/>
          <w:sz w:val="20"/>
          <w:szCs w:val="20"/>
        </w:rPr>
        <w:t xml:space="preserve"> </w:t>
      </w:r>
      <w:r w:rsidRPr="00B32F22">
        <w:rPr>
          <w:rFonts w:ascii="Arial" w:eastAsia="Calibri" w:hAnsi="Arial" w:cs="Arial"/>
          <w:bCs/>
          <w:sz w:val="20"/>
          <w:szCs w:val="20"/>
        </w:rPr>
        <w:t xml:space="preserve">önkormányzati (GFO 321, 327, 351, 353, 371, 373) és egyházi (GFO 55) fenntartó esetében, amennyiben a fejlesztéssel érintett </w:t>
      </w:r>
      <w:proofErr w:type="gramStart"/>
      <w:r w:rsidRPr="00B32F22">
        <w:rPr>
          <w:rFonts w:ascii="Arial" w:eastAsia="Calibri" w:hAnsi="Arial" w:cs="Arial"/>
          <w:bCs/>
          <w:sz w:val="20"/>
          <w:szCs w:val="20"/>
        </w:rPr>
        <w:t>település(</w:t>
      </w:r>
      <w:proofErr w:type="spellStart"/>
      <w:proofErr w:type="gramEnd"/>
      <w:r w:rsidRPr="00B32F22">
        <w:rPr>
          <w:rFonts w:ascii="Arial" w:eastAsia="Calibri" w:hAnsi="Arial" w:cs="Arial"/>
          <w:bCs/>
          <w:sz w:val="20"/>
          <w:szCs w:val="20"/>
        </w:rPr>
        <w:t>ek</w:t>
      </w:r>
      <w:proofErr w:type="spellEnd"/>
      <w:r w:rsidRPr="00B32F22">
        <w:rPr>
          <w:rFonts w:ascii="Arial" w:eastAsia="Calibri" w:hAnsi="Arial" w:cs="Arial"/>
          <w:bCs/>
          <w:sz w:val="20"/>
          <w:szCs w:val="20"/>
        </w:rPr>
        <w:t xml:space="preserve">) lakónépessége a </w:t>
      </w:r>
      <w:r w:rsidRPr="00B32F22">
        <w:rPr>
          <w:rFonts w:ascii="Arial" w:eastAsia="Calibri" w:hAnsi="Arial" w:cs="Arial"/>
          <w:sz w:val="20"/>
          <w:szCs w:val="20"/>
        </w:rPr>
        <w:t>– BM állandó lakosságszám nyilvántartási adatai szerint</w:t>
      </w:r>
      <w:r w:rsidRPr="00B32F22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B32F22">
        <w:rPr>
          <w:rFonts w:ascii="Arial" w:eastAsia="Calibri" w:hAnsi="Arial" w:cs="Arial"/>
          <w:sz w:val="20"/>
          <w:szCs w:val="20"/>
        </w:rPr>
        <w:t xml:space="preserve"> – </w:t>
      </w:r>
      <w:r w:rsidRPr="00B32F22">
        <w:rPr>
          <w:rFonts w:ascii="Arial" w:eastAsia="Calibri" w:hAnsi="Arial" w:cs="Arial"/>
          <w:bCs/>
          <w:sz w:val="20"/>
          <w:szCs w:val="20"/>
        </w:rPr>
        <w:t>3000 fő alatti. Egyéb, támogatást igénylői körbe tartozó fenntartó esetében új férőhely létrehozása lakónépesség korlátozás nélkül támogatható.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Az RRF és a TOP Plusz fejlesztések kombinálhatóak lehetnek, amennyiben a fejlesztések és azok költségei megfelelően lehatárolásra kerülnek. Ennek során a Felhívás 6.2. 3) pontjában meghatározott arányosítási elvárásokat, valamint a 2.3. A) A1) 4) közös használatú helyiségekre vonatkozó elvárásokat </w:t>
      </w:r>
      <w:r w:rsidRPr="00B32F22">
        <w:rPr>
          <w:rFonts w:ascii="Arial" w:hAnsi="Arial" w:cs="Arial"/>
          <w:color w:val="000000" w:themeColor="text1"/>
          <w:sz w:val="20"/>
          <w:szCs w:val="20"/>
        </w:rPr>
        <w:lastRenderedPageBreak/>
        <w:t>kell figyelembe venni, azzal, hogy a közös használatú helyiségek fejlesztésének költségei csak az egyik forrásból számolhatóak el, melyről a támogatást igénylőnek nyilatkoznia szükséges.</w:t>
      </w:r>
    </w:p>
    <w:p w:rsidR="00B32F22" w:rsidRPr="00B32F22" w:rsidRDefault="00B32F22" w:rsidP="00B32F22">
      <w:pPr>
        <w:keepNext/>
        <w:spacing w:before="120" w:after="0" w:line="240" w:lineRule="auto"/>
        <w:ind w:left="567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b/>
          <w:bCs/>
          <w:color w:val="000000" w:themeColor="text1"/>
          <w:sz w:val="20"/>
          <w:szCs w:val="20"/>
        </w:rPr>
        <w:t>Óvodafejlesztés: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Magyarországon a hároméves kortól kötelező óvodai nevelésben való részvétel egyrészt a 3 éves gyermekek mielőbbi napközbeni intézményes nevelését, másrészt a családok életminőségének, a szülők munkába való visszatéréséknek segítését szolgálja.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színvonalasan működő köznevelési intézmények csökkentik a társadalmi különbséget és mindenkinek egyenlő esélyt teremtenek. Ennek az összetett feladatnak az első lépcsőjét az óvoda adja, ahol 3 és 6 éves kor között jelentősen fejlődnek azok a kompetenciák, amelyek a gyermekek későbbi iskolai teljesítményét, szocializációját, személyiségfejlődését megalapozzák. Kiemelt jelentőségű az óvodák szerepe a hátránycsökkentő és tehetséggondozó folyamatokban.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3 éves kortól kötelező óvodai nevelésben való részvétel miatt növekvő létszámban óvodai nevelésbe kerülő gyermekek hatékony és színvonalas óvodai neveléséhez elengedhetetlen a megfelelő infrastruktúra kialakítása. A</w:t>
      </w:r>
      <w:r w:rsidRPr="00B32F22" w:rsidDel="00CD1DB9">
        <w:rPr>
          <w:rFonts w:ascii="Arial" w:hAnsi="Arial" w:cs="Arial"/>
          <w:color w:val="000000" w:themeColor="text1"/>
          <w:sz w:val="20"/>
          <w:szCs w:val="20"/>
        </w:rPr>
        <w:t xml:space="preserve"> szolgáltatások minőségében és a rendelkezésre álló infrastruktúrában is vannak jelentős területi különbségek</w:t>
      </w:r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, melyek szükségessé teszik a fejlesztési források biztosítását </w:t>
      </w:r>
      <w:proofErr w:type="gramStart"/>
      <w:r w:rsidRPr="00B32F22">
        <w:rPr>
          <w:rFonts w:ascii="Arial" w:hAnsi="Arial" w:cs="Arial"/>
          <w:color w:val="000000" w:themeColor="text1"/>
          <w:sz w:val="20"/>
          <w:szCs w:val="20"/>
        </w:rPr>
        <w:t>ezen</w:t>
      </w:r>
      <w:proofErr w:type="gram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különbségek felszámolására</w:t>
      </w:r>
      <w:r w:rsidRPr="00B32F22" w:rsidDel="00CD1DB9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Pályázók köre:</w:t>
      </w:r>
    </w:p>
    <w:p w:rsidR="00B32F22" w:rsidRPr="00B32F22" w:rsidRDefault="00B32F22" w:rsidP="00B32F22">
      <w:pPr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32F22">
        <w:rPr>
          <w:rFonts w:ascii="Arial" w:eastAsia="Times New Roman" w:hAnsi="Arial" w:cs="Arial"/>
          <w:sz w:val="20"/>
          <w:szCs w:val="20"/>
          <w:lang w:eastAsia="hu-HU"/>
        </w:rPr>
        <w:t xml:space="preserve">A Felhívásra </w:t>
      </w:r>
      <w:r w:rsidRPr="00B32F22">
        <w:rPr>
          <w:rFonts w:ascii="Arial" w:eastAsia="Times New Roman" w:hAnsi="Arial" w:cs="Arial"/>
          <w:bCs/>
          <w:sz w:val="20"/>
          <w:szCs w:val="20"/>
          <w:lang w:eastAsia="hu-HU"/>
        </w:rPr>
        <w:t>támogatási kérelmet nyújthatnak be a bölcsődei/óvodai ellátást nyújtó intézmények, szolgáltatások fenntartói/</w:t>
      </w:r>
      <w:proofErr w:type="spellStart"/>
      <w:r w:rsidRPr="00B32F22">
        <w:rPr>
          <w:rFonts w:ascii="Arial" w:eastAsia="Times New Roman" w:hAnsi="Arial" w:cs="Arial"/>
          <w:bCs/>
          <w:sz w:val="20"/>
          <w:szCs w:val="20"/>
          <w:lang w:eastAsia="hu-HU"/>
        </w:rPr>
        <w:t>fenntartói</w:t>
      </w:r>
      <w:proofErr w:type="spellEnd"/>
      <w:r w:rsidRPr="00B32F22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jogok gyakorlását ellátó szervezet vagy az épületek tulajdonosai</w:t>
      </w:r>
      <w:r w:rsidRPr="00B32F22">
        <w:rPr>
          <w:rFonts w:ascii="Arial" w:eastAsia="Times New Roman" w:hAnsi="Arial" w:cs="Arial"/>
          <w:sz w:val="20"/>
          <w:szCs w:val="20"/>
          <w:lang w:eastAsia="hu-HU"/>
        </w:rPr>
        <w:t>, amennyiben az alábbi támogatást igénylők körébe tartoznak: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Központi költségvetési irányító és költségvetési szervek (GFO 31);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iCs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 xml:space="preserve">Helyi önkormányzatok </w:t>
      </w:r>
      <w:r w:rsidRPr="00B32F22">
        <w:rPr>
          <w:rFonts w:ascii="Arial" w:eastAsia="Calibri" w:hAnsi="Arial" w:cs="Arial"/>
          <w:iCs/>
          <w:sz w:val="20"/>
          <w:szCs w:val="20"/>
        </w:rPr>
        <w:t xml:space="preserve">és társulásaik (GFO </w:t>
      </w:r>
      <w:r w:rsidRPr="00B32F22">
        <w:rPr>
          <w:rFonts w:ascii="Arial" w:eastAsia="Calibri" w:hAnsi="Arial" w:cs="Arial"/>
          <w:sz w:val="20"/>
          <w:szCs w:val="20"/>
        </w:rPr>
        <w:t>321</w:t>
      </w:r>
      <w:r w:rsidRPr="00B32F22">
        <w:rPr>
          <w:rFonts w:ascii="Arial" w:eastAsia="Calibri" w:hAnsi="Arial" w:cs="Arial"/>
          <w:iCs/>
          <w:sz w:val="20"/>
          <w:szCs w:val="20"/>
        </w:rPr>
        <w:t>, 327);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 xml:space="preserve">Országos és helyi </w:t>
      </w:r>
      <w:r w:rsidRPr="00B32F22">
        <w:rPr>
          <w:rFonts w:ascii="Arial" w:eastAsia="Calibri" w:hAnsi="Arial" w:cs="Arial"/>
          <w:iCs/>
          <w:sz w:val="20"/>
          <w:szCs w:val="20"/>
        </w:rPr>
        <w:t>nemzetiségi</w:t>
      </w:r>
      <w:r w:rsidRPr="00B32F22">
        <w:rPr>
          <w:rFonts w:ascii="Arial" w:eastAsia="Calibri" w:hAnsi="Arial" w:cs="Arial"/>
          <w:sz w:val="20"/>
          <w:szCs w:val="20"/>
        </w:rPr>
        <w:t xml:space="preserve"> önkormányzatok </w:t>
      </w:r>
      <w:r w:rsidRPr="00B32F22">
        <w:rPr>
          <w:rFonts w:ascii="Arial" w:eastAsia="Calibri" w:hAnsi="Arial" w:cs="Arial"/>
          <w:iCs/>
          <w:sz w:val="20"/>
          <w:szCs w:val="20"/>
        </w:rPr>
        <w:t xml:space="preserve">és társulásaik </w:t>
      </w:r>
      <w:r w:rsidRPr="00B32F22">
        <w:rPr>
          <w:rFonts w:ascii="Arial" w:eastAsia="Calibri" w:hAnsi="Arial" w:cs="Arial"/>
          <w:sz w:val="20"/>
          <w:szCs w:val="20"/>
        </w:rPr>
        <w:t>(GFO 351</w:t>
      </w:r>
      <w:r w:rsidRPr="00B32F22">
        <w:rPr>
          <w:rFonts w:ascii="Arial" w:eastAsia="Calibri" w:hAnsi="Arial" w:cs="Arial"/>
          <w:iCs/>
          <w:sz w:val="20"/>
          <w:szCs w:val="20"/>
        </w:rPr>
        <w:t>, 353,</w:t>
      </w:r>
      <w:r w:rsidRPr="00B32F22">
        <w:rPr>
          <w:rFonts w:ascii="Arial" w:eastAsia="Calibri" w:hAnsi="Arial" w:cs="Arial"/>
          <w:sz w:val="20"/>
          <w:szCs w:val="20"/>
        </w:rPr>
        <w:t xml:space="preserve"> 371</w:t>
      </w:r>
      <w:r w:rsidRPr="00B32F22">
        <w:rPr>
          <w:rFonts w:ascii="Arial" w:eastAsia="Calibri" w:hAnsi="Arial" w:cs="Arial"/>
          <w:iCs/>
          <w:sz w:val="20"/>
          <w:szCs w:val="20"/>
        </w:rPr>
        <w:t>,</w:t>
      </w:r>
      <w:r w:rsidRPr="00B32F22">
        <w:rPr>
          <w:rFonts w:ascii="Arial" w:eastAsia="Calibri" w:hAnsi="Arial" w:cs="Arial"/>
          <w:sz w:val="20"/>
          <w:szCs w:val="20"/>
        </w:rPr>
        <w:t xml:space="preserve"> 373</w:t>
      </w:r>
      <w:r w:rsidRPr="00B32F22">
        <w:rPr>
          <w:rFonts w:ascii="Arial" w:eastAsia="Calibri" w:hAnsi="Arial" w:cs="Arial"/>
          <w:iCs/>
          <w:sz w:val="20"/>
          <w:szCs w:val="20"/>
        </w:rPr>
        <w:t>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Egyházi jogi személy (GFO 55);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Magyarország területén alapított és itt székhellyel rendelkező, jogi személyiségű civil szervezetek a 2011. évi CLXXV. törvény alapján (GFO 529, 560, 563, 565, 569);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Közalapítvány</w:t>
      </w:r>
      <w:r w:rsidRPr="00B32F2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B32F22">
        <w:rPr>
          <w:rFonts w:ascii="Arial" w:eastAsia="Calibri" w:hAnsi="Arial" w:cs="Arial"/>
          <w:sz w:val="20"/>
          <w:szCs w:val="20"/>
        </w:rPr>
        <w:t>(GFO 561</w:t>
      </w:r>
      <w:r w:rsidRPr="00B32F22">
        <w:rPr>
          <w:rFonts w:ascii="Arial" w:eastAsia="Calibri" w:hAnsi="Arial" w:cs="Arial"/>
          <w:iCs/>
          <w:sz w:val="20"/>
          <w:szCs w:val="20"/>
        </w:rPr>
        <w:t>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Nonprofit gazdasági társaság, szervezet (GFO 572, 573, 575, 576, 599);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Önkormányzat többségi</w:t>
      </w:r>
      <w:r w:rsidRPr="00B32F22">
        <w:rPr>
          <w:rFonts w:ascii="Arial" w:eastAsia="Calibri" w:hAnsi="Arial" w:cs="Arial"/>
          <w:sz w:val="20"/>
          <w:szCs w:val="20"/>
          <w:vertAlign w:val="superscript"/>
        </w:rPr>
        <w:footnoteReference w:id="2"/>
      </w:r>
      <w:r w:rsidRPr="00B32F22">
        <w:rPr>
          <w:rFonts w:ascii="Arial" w:eastAsia="Calibri" w:hAnsi="Arial" w:cs="Arial"/>
          <w:sz w:val="20"/>
          <w:szCs w:val="20"/>
        </w:rPr>
        <w:t xml:space="preserve"> tulajdonában lévő vállalkozások (GFO 11).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3000 fő vagy afölötti lakónépességű települések esetén új bölcsődei/mini bölcsődei/családi bölcsődei férőhelyek létrehozására (beleértve: új intézmény/telephely/szolgáltatás/csoport létesítését, bezárt telephely újranyitását) irányulóan nem nyújtható be támogatási kérelem olyan intézmény/szolgáltatás férőhelybővítésére/kialakítására vonatkozóan, melyek tervezett fenntartói:</w:t>
      </w:r>
    </w:p>
    <w:p w:rsidR="00B32F22" w:rsidRPr="00B32F22" w:rsidRDefault="00B32F22" w:rsidP="00B32F22">
      <w:pPr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Helyi önkormányzatok és társulásaik (GFO 321, 327);</w:t>
      </w:r>
    </w:p>
    <w:p w:rsidR="00B32F22" w:rsidRPr="00B32F22" w:rsidRDefault="00B32F22" w:rsidP="00B32F22">
      <w:pPr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Országos és helyi nemzetiségi önkormányzatok és társulásaik (GFO 351, 353, 371, 373);</w:t>
      </w:r>
    </w:p>
    <w:p w:rsidR="00B32F22" w:rsidRPr="00B32F22" w:rsidRDefault="00B32F22" w:rsidP="00B32F22">
      <w:pPr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Egyházi jogi személy (GFO 55).</w:t>
      </w:r>
    </w:p>
    <w:p w:rsidR="00B32F22" w:rsidRPr="00B32F22" w:rsidRDefault="00B32F22" w:rsidP="00B32F22">
      <w:pPr>
        <w:spacing w:before="60"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</w:t>
      </w:r>
      <w:r w:rsidRPr="00B32F2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B32F22">
        <w:rPr>
          <w:rFonts w:ascii="Arial" w:hAnsi="Arial" w:cs="Arial"/>
          <w:bCs/>
          <w:sz w:val="20"/>
          <w:szCs w:val="20"/>
        </w:rPr>
        <w:t>támogatási kérelem</w:t>
      </w:r>
      <w:r w:rsidRPr="00B32F22">
        <w:rPr>
          <w:rFonts w:ascii="Arial" w:hAnsi="Arial" w:cs="Arial"/>
          <w:bCs/>
          <w:color w:val="000000" w:themeColor="text1"/>
          <w:sz w:val="20"/>
          <w:szCs w:val="20"/>
        </w:rPr>
        <w:t xml:space="preserve"> benyújtására</w:t>
      </w:r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32F22">
        <w:rPr>
          <w:rFonts w:ascii="Arial" w:hAnsi="Arial" w:cs="Arial"/>
          <w:bCs/>
          <w:color w:val="000000" w:themeColor="text1"/>
          <w:sz w:val="20"/>
          <w:szCs w:val="20"/>
        </w:rPr>
        <w:t>konzorciumi formában is van lehetőség</w:t>
      </w:r>
      <w:r w:rsidRPr="00B32F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B32F22" w:rsidRPr="00B32F22" w:rsidRDefault="00B32F22" w:rsidP="00B32F22">
      <w:pPr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32F22">
        <w:rPr>
          <w:rFonts w:ascii="Arial" w:eastAsia="Times New Roman" w:hAnsi="Arial" w:cs="Arial"/>
          <w:bCs/>
          <w:sz w:val="20"/>
          <w:szCs w:val="20"/>
          <w:lang w:eastAsia="hu-HU"/>
        </w:rPr>
        <w:lastRenderedPageBreak/>
        <w:t>Önállóan nem, kizárólag konzorciumi partnerként nyújthatnak be támogatási kérelmet</w:t>
      </w:r>
      <w:r w:rsidRPr="00B32F22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proofErr w:type="spellStart"/>
      <w:r w:rsidRPr="00B32F22">
        <w:rPr>
          <w:rFonts w:ascii="Arial" w:eastAsia="Times New Roman" w:hAnsi="Arial" w:cs="Arial"/>
          <w:sz w:val="20"/>
          <w:szCs w:val="20"/>
          <w:lang w:eastAsia="hu-HU"/>
        </w:rPr>
        <w:t>projektelőkészítés</w:t>
      </w:r>
      <w:proofErr w:type="spellEnd"/>
      <w:r w:rsidRPr="00B32F22">
        <w:rPr>
          <w:rFonts w:ascii="Arial" w:eastAsia="Times New Roman" w:hAnsi="Arial" w:cs="Arial"/>
          <w:sz w:val="20"/>
          <w:szCs w:val="20"/>
          <w:lang w:eastAsia="hu-HU"/>
        </w:rPr>
        <w:t>, projektmenedzsment, közbeszerzés, műszaki ellenőr és kötelezően előírt nyilvánosság biztosítása</w:t>
      </w:r>
      <w:r w:rsidRPr="00B32F22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tevékenységek megvalósítására az alábbi szervezetek</w:t>
      </w:r>
      <w:r w:rsidRPr="00B32F22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32F22">
        <w:rPr>
          <w:rFonts w:ascii="Arial" w:eastAsia="Times New Roman" w:hAnsi="Arial" w:cs="Arial"/>
          <w:sz w:val="20"/>
          <w:szCs w:val="20"/>
          <w:lang w:eastAsia="hu-HU"/>
        </w:rPr>
        <w:t>Vármegyei önkormányzat (GFO 321)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32F22">
        <w:rPr>
          <w:rFonts w:ascii="Arial" w:eastAsia="Times New Roman" w:hAnsi="Arial" w:cs="Arial"/>
          <w:sz w:val="20"/>
          <w:szCs w:val="20"/>
          <w:lang w:eastAsia="hu-HU"/>
        </w:rPr>
        <w:t>Önkormányzati hivatal (költségvetési szerv) (GFO 325)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 xml:space="preserve">Nonprofit gazdasági társaság, szervezet (GFO 572, 573, 575, 576, 599), amelyben az állam vagy önkormányzat </w:t>
      </w:r>
      <w:r w:rsidRPr="00B32F22">
        <w:rPr>
          <w:rFonts w:ascii="Arial" w:eastAsia="Calibri" w:hAnsi="Arial" w:cs="Arial"/>
          <w:sz w:val="20"/>
          <w:szCs w:val="20"/>
          <w:lang w:val="x-none" w:eastAsia="hu-HU"/>
        </w:rPr>
        <w:t>–</w:t>
      </w:r>
      <w:r w:rsidRPr="00B32F22">
        <w:rPr>
          <w:rFonts w:ascii="Arial" w:eastAsia="Calibri" w:hAnsi="Arial" w:cs="Arial"/>
          <w:sz w:val="20"/>
          <w:szCs w:val="20"/>
          <w:lang w:eastAsia="hu-HU"/>
        </w:rPr>
        <w:t xml:space="preserve"> </w:t>
      </w:r>
      <w:r w:rsidRPr="00B32F22">
        <w:rPr>
          <w:rFonts w:ascii="Arial" w:eastAsia="Calibri" w:hAnsi="Arial" w:cs="Arial"/>
          <w:sz w:val="20"/>
          <w:szCs w:val="20"/>
        </w:rPr>
        <w:t xml:space="preserve">együttesen vagy külön, közvetve vagy közvetlenül </w:t>
      </w:r>
      <w:r w:rsidRPr="00B32F22">
        <w:rPr>
          <w:rFonts w:ascii="Arial" w:eastAsia="Calibri" w:hAnsi="Arial" w:cs="Arial"/>
          <w:sz w:val="20"/>
          <w:szCs w:val="20"/>
          <w:lang w:val="x-none" w:eastAsia="hu-HU"/>
        </w:rPr>
        <w:t>–</w:t>
      </w:r>
      <w:r w:rsidRPr="00B32F22">
        <w:rPr>
          <w:rFonts w:ascii="Arial" w:eastAsia="Calibri" w:hAnsi="Arial" w:cs="Arial"/>
          <w:sz w:val="20"/>
          <w:szCs w:val="20"/>
          <w:lang w:eastAsia="hu-HU"/>
        </w:rPr>
        <w:t xml:space="preserve"> </w:t>
      </w:r>
      <w:r w:rsidRPr="00B32F22">
        <w:rPr>
          <w:rFonts w:ascii="Arial" w:eastAsia="Calibri" w:hAnsi="Arial" w:cs="Arial"/>
          <w:sz w:val="20"/>
          <w:szCs w:val="20"/>
        </w:rPr>
        <w:t xml:space="preserve">100%-os tulajdoni részesedéssel rendelkezik. </w:t>
      </w:r>
    </w:p>
    <w:p w:rsidR="00B32F22" w:rsidRPr="00B32F22" w:rsidRDefault="00B32F22" w:rsidP="00B32F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 xml:space="preserve">Vállalkozás (GFO 11), amelyben az állam vagy önkormányzat </w:t>
      </w:r>
      <w:r w:rsidRPr="00B32F22">
        <w:rPr>
          <w:rFonts w:ascii="Arial" w:eastAsia="Calibri" w:hAnsi="Arial" w:cs="Arial"/>
          <w:sz w:val="20"/>
          <w:szCs w:val="20"/>
          <w:lang w:val="x-none" w:eastAsia="hu-HU"/>
        </w:rPr>
        <w:t>–</w:t>
      </w:r>
      <w:r w:rsidRPr="00B32F22">
        <w:rPr>
          <w:rFonts w:ascii="Arial" w:eastAsia="Calibri" w:hAnsi="Arial" w:cs="Arial"/>
          <w:sz w:val="20"/>
          <w:szCs w:val="20"/>
          <w:lang w:eastAsia="hu-HU"/>
        </w:rPr>
        <w:t xml:space="preserve"> </w:t>
      </w:r>
      <w:r w:rsidRPr="00B32F22">
        <w:rPr>
          <w:rFonts w:ascii="Arial" w:eastAsia="Calibri" w:hAnsi="Arial" w:cs="Arial"/>
          <w:sz w:val="20"/>
          <w:szCs w:val="20"/>
        </w:rPr>
        <w:t xml:space="preserve">együttesen vagy külön, közvetve vagy közvetlenül </w:t>
      </w:r>
      <w:r w:rsidRPr="00B32F22">
        <w:rPr>
          <w:rFonts w:ascii="Arial" w:eastAsia="Calibri" w:hAnsi="Arial" w:cs="Arial"/>
          <w:sz w:val="20"/>
          <w:szCs w:val="20"/>
          <w:lang w:val="x-none" w:eastAsia="hu-HU"/>
        </w:rPr>
        <w:t>–</w:t>
      </w:r>
      <w:r w:rsidRPr="00B32F22">
        <w:rPr>
          <w:rFonts w:ascii="Arial" w:eastAsia="Calibri" w:hAnsi="Arial" w:cs="Arial"/>
          <w:sz w:val="20"/>
          <w:szCs w:val="20"/>
          <w:lang w:eastAsia="hu-HU"/>
        </w:rPr>
        <w:t xml:space="preserve"> </w:t>
      </w:r>
      <w:r w:rsidRPr="00B32F22">
        <w:rPr>
          <w:rFonts w:ascii="Arial" w:eastAsia="Calibri" w:hAnsi="Arial" w:cs="Arial"/>
          <w:sz w:val="20"/>
          <w:szCs w:val="20"/>
        </w:rPr>
        <w:t>100%-os tulajdoni részesedéssel rendelkezik.</w:t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Földrajzi területi korlátozás:</w:t>
      </w:r>
    </w:p>
    <w:p w:rsidR="00B32F22" w:rsidRPr="00B32F22" w:rsidRDefault="00B32F22" w:rsidP="00B32F22">
      <w:pPr>
        <w:spacing w:before="120" w:after="0" w:line="240" w:lineRule="auto"/>
        <w:ind w:left="56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32F22">
        <w:rPr>
          <w:rFonts w:ascii="Arial" w:hAnsi="Arial" w:cs="Arial"/>
          <w:sz w:val="20"/>
          <w:szCs w:val="20"/>
        </w:rPr>
        <w:t>A kevésbé fejlett régiók szerinti vármegyék településein, kivéve a vármegyei Integrált Területi Programokban meghatározott azon városokat és várostérségeket, amelyek a Fenntartható Városfejlesztési eszköz keretében jogosultak támogatási kérelmet benyújtani.</w:t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Támogatási összeg (az előterjesztés időpontjában hatályos ÉFK alapján):</w:t>
      </w:r>
    </w:p>
    <w:p w:rsidR="00B32F22" w:rsidRPr="00B32F22" w:rsidRDefault="00B32F22" w:rsidP="00B32F22">
      <w:pPr>
        <w:spacing w:after="0" w:line="276" w:lineRule="auto"/>
        <w:ind w:left="567"/>
        <w:rPr>
          <w:rFonts w:ascii="Arial" w:hAnsi="Arial" w:cs="Arial"/>
          <w:sz w:val="20"/>
          <w:szCs w:val="20"/>
        </w:rPr>
      </w:pPr>
      <w:r w:rsidRPr="00B32F22">
        <w:rPr>
          <w:rFonts w:ascii="Arial" w:hAnsi="Arial" w:cs="Arial"/>
          <w:sz w:val="20"/>
          <w:szCs w:val="20"/>
        </w:rPr>
        <w:t>72,73 Mrd Ft</w:t>
      </w:r>
      <w:r w:rsidRPr="00B32F22">
        <w:rPr>
          <w:rFonts w:ascii="Arial" w:hAnsi="Arial" w:cs="Times New Roman"/>
          <w:sz w:val="20"/>
          <w:szCs w:val="20"/>
          <w:vertAlign w:val="superscript"/>
        </w:rPr>
        <w:footnoteReference w:id="3"/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Elbírálás módja:</w:t>
      </w:r>
    </w:p>
    <w:p w:rsidR="00B32F22" w:rsidRPr="00B32F22" w:rsidRDefault="00B32F22" w:rsidP="00B32F22">
      <w:pPr>
        <w:spacing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projektekről TKR standard eljárás szabályai szerint születik döntés.</w:t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Alkalmazott kiválasztási eljárásrend:</w:t>
      </w:r>
    </w:p>
    <w:p w:rsidR="00B32F22" w:rsidRPr="00B32F22" w:rsidRDefault="00B32F22" w:rsidP="00B32F22">
      <w:p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felhívásra beérkező támogatási kérelmek a Korm. rendelet alapján területi kiválasztási eljárásrend (TKR) alapján kerülnek kiválasztásra.</w:t>
      </w:r>
    </w:p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B32F22" w:rsidRPr="00B32F22" w:rsidTr="00C5795A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b/>
                <w:color w:val="A6A6A6" w:themeColor="background1" w:themeShade="A6"/>
              </w:rPr>
            </w:pPr>
            <w:proofErr w:type="spellStart"/>
            <w:r w:rsidRPr="00B32F22">
              <w:rPr>
                <w:rFonts w:ascii="Arial" w:hAnsi="Arial" w:cs="Arial"/>
                <w:b/>
                <w:color w:val="000000" w:themeColor="text1"/>
              </w:rPr>
              <w:t>Indikátor</w:t>
            </w:r>
            <w:proofErr w:type="spellEnd"/>
            <w:r w:rsidRPr="00B32F22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b/>
                <w:color w:val="000000" w:themeColor="text1"/>
              </w:rPr>
              <w:t>megnevezése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b/>
                <w:color w:val="000000" w:themeColor="text1"/>
              </w:rPr>
              <w:t>Kódszám</w:t>
            </w:r>
            <w:proofErr w:type="spellEnd"/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Fejlesztett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, 0-3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gyermekek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elhelyezését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biztosító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férőhelyek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TPO26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Újonnan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létrehozott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, 0-3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gyermekek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elhelyezését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biztosító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férőhelyek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TPO27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Fejlesztett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, 3-6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gyermekek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elhelyezését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biztosító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férőhelyek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TPO28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Újonnan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létrehozott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, 3-6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gyermekek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elhelyezését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biztosító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férőhelyek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TPO29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Az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új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vagy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korszerűsített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gyermekgondozási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létesítmények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éves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felhasználói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RCR70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Újonnan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létrehozott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bölcsődei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ellátással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rendelkező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települések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ahol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2020.12.31-én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nem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működött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bölcsődei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szolgáltatás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TPR11</w:t>
            </w:r>
          </w:p>
        </w:tc>
      </w:tr>
      <w:tr w:rsidR="00B32F22" w:rsidRPr="00B32F22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Fejlesztett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óvodai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ellátással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rendelkező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települések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2" w:rsidRPr="00B32F22" w:rsidRDefault="00B32F22" w:rsidP="00B32F2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F22">
              <w:rPr>
                <w:rFonts w:ascii="Arial" w:hAnsi="Arial" w:cs="Arial"/>
                <w:color w:val="000000" w:themeColor="text1"/>
              </w:rPr>
              <w:t>TPR12</w:t>
            </w:r>
          </w:p>
        </w:tc>
      </w:tr>
    </w:tbl>
    <w:p w:rsidR="00B32F22" w:rsidRPr="00B32F22" w:rsidRDefault="00B32F22" w:rsidP="00B32F22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32F22">
        <w:rPr>
          <w:rFonts w:ascii="Arial" w:eastAsia="Calibri" w:hAnsi="Arial" w:cs="Arial"/>
          <w:b/>
          <w:sz w:val="20"/>
          <w:szCs w:val="20"/>
        </w:rPr>
        <w:lastRenderedPageBreak/>
        <w:t>Kiválasztási kritériumok:</w:t>
      </w:r>
    </w:p>
    <w:p w:rsidR="00B32F22" w:rsidRPr="00B32F22" w:rsidRDefault="00B32F22" w:rsidP="00B32F22">
      <w:pPr>
        <w:numPr>
          <w:ilvl w:val="0"/>
          <w:numId w:val="3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B32F22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B32F22">
        <w:rPr>
          <w:rFonts w:ascii="Arial" w:eastAsia="Calibri" w:hAnsi="Arial" w:cs="Arial"/>
          <w:b/>
          <w:sz w:val="20"/>
          <w:szCs w:val="20"/>
        </w:rPr>
        <w:t xml:space="preserve"> nem </w:t>
      </w:r>
      <w:proofErr w:type="spellStart"/>
      <w:r w:rsidRPr="00B32F22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B32F22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B32F22" w:rsidRPr="00B32F22" w:rsidRDefault="00B32F22" w:rsidP="00B32F22">
      <w:pPr>
        <w:spacing w:before="60" w:after="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Nem releváns.</w:t>
      </w:r>
    </w:p>
    <w:p w:rsidR="00B32F22" w:rsidRPr="00B32F22" w:rsidRDefault="00B32F22" w:rsidP="00B32F22">
      <w:pPr>
        <w:numPr>
          <w:ilvl w:val="0"/>
          <w:numId w:val="3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B32F22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B32F2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B32F22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B32F22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B32F22" w:rsidRPr="00B32F22" w:rsidRDefault="00B32F22" w:rsidP="00B32F22">
      <w:pPr>
        <w:numPr>
          <w:ilvl w:val="0"/>
          <w:numId w:val="7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eastAsia="Calibri" w:hAnsi="Arial" w:cs="Arial"/>
          <w:sz w:val="20"/>
          <w:szCs w:val="20"/>
        </w:rPr>
        <w:t>A támogatási kérelemben szereplő, az igényelt támogatásra vonatkozó táblázatok adatai egyezőek.</w:t>
      </w:r>
    </w:p>
    <w:p w:rsidR="00B32F22" w:rsidRPr="00B32F22" w:rsidRDefault="00B32F22" w:rsidP="00B32F22">
      <w:pPr>
        <w:numPr>
          <w:ilvl w:val="0"/>
          <w:numId w:val="7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fejlesztés megvalósításának időtartama a felhívásban megadott időintervallum maximumán belül van.</w:t>
      </w:r>
    </w:p>
    <w:p w:rsidR="00B32F22" w:rsidRPr="00B32F22" w:rsidRDefault="00B32F22" w:rsidP="00B32F22">
      <w:pPr>
        <w:numPr>
          <w:ilvl w:val="0"/>
          <w:numId w:val="7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hiánypótolható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>, kötelezően csatolandó mellékletek benyújtásra kerültek.</w:t>
      </w:r>
    </w:p>
    <w:p w:rsidR="00B32F22" w:rsidRPr="00B32F22" w:rsidRDefault="00B32F22" w:rsidP="00B32F22">
      <w:pPr>
        <w:numPr>
          <w:ilvl w:val="0"/>
          <w:numId w:val="7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32F22">
        <w:rPr>
          <w:rFonts w:ascii="Arial" w:hAnsi="Arial" w:cs="Arial"/>
          <w:color w:val="000000" w:themeColor="text1"/>
          <w:sz w:val="20"/>
          <w:szCs w:val="20"/>
        </w:rPr>
        <w:t>A támogatást igénylő rendelkezik az egyenlő bánásmódról és az esélyegyenlőség előmozdításáról szóló 2003. évi CXXV. törvény 31. §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-a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szerinti öt évre szóló helyi esélyegyenlőségi programmal vagy az egyenlő bánásmódról és az esélyegyenlőség előmozdításáról szóló 2003. évi CXXV. törvény 63. §</w:t>
      </w:r>
      <w:proofErr w:type="spellStart"/>
      <w:r w:rsidRPr="00B32F22">
        <w:rPr>
          <w:rFonts w:ascii="Arial" w:hAnsi="Arial" w:cs="Arial"/>
          <w:color w:val="000000" w:themeColor="text1"/>
          <w:sz w:val="20"/>
          <w:szCs w:val="20"/>
        </w:rPr>
        <w:t>-a</w:t>
      </w:r>
      <w:proofErr w:type="spellEnd"/>
      <w:r w:rsidRPr="00B32F22">
        <w:rPr>
          <w:rFonts w:ascii="Arial" w:hAnsi="Arial" w:cs="Arial"/>
          <w:color w:val="000000" w:themeColor="text1"/>
          <w:sz w:val="20"/>
          <w:szCs w:val="20"/>
        </w:rPr>
        <w:t xml:space="preserve"> szerinti esélyegyenlőségi tervvel.</w:t>
      </w:r>
    </w:p>
    <w:p w:rsidR="00B32F22" w:rsidRPr="00B32F22" w:rsidRDefault="00B32F22" w:rsidP="00B32F22">
      <w:pPr>
        <w:keepNext/>
        <w:numPr>
          <w:ilvl w:val="0"/>
          <w:numId w:val="3"/>
        </w:numPr>
        <w:spacing w:before="120" w:after="120" w:line="240" w:lineRule="auto"/>
        <w:ind w:left="1134" w:hanging="357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proofErr w:type="spellStart"/>
      <w:r w:rsidRPr="00B32F22">
        <w:rPr>
          <w:rFonts w:ascii="Arial" w:eastAsia="Calibri" w:hAnsi="Arial" w:cs="Arial"/>
          <w:b/>
          <w:bCs/>
          <w:sz w:val="20"/>
          <w:szCs w:val="20"/>
        </w:rPr>
        <w:t>Felhívásspecifikus</w:t>
      </w:r>
      <w:proofErr w:type="spellEnd"/>
      <w:r w:rsidRPr="00B32F22">
        <w:rPr>
          <w:rFonts w:ascii="Arial" w:eastAsia="Calibri" w:hAnsi="Arial" w:cs="Arial"/>
          <w:b/>
          <w:bCs/>
          <w:sz w:val="20"/>
          <w:szCs w:val="20"/>
        </w:rPr>
        <w:t xml:space="preserve"> tartalmi kiválasztási kritériumok:</w:t>
      </w:r>
    </w:p>
    <w:tbl>
      <w:tblPr>
        <w:tblW w:w="1325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2187"/>
        <w:gridCol w:w="3679"/>
        <w:gridCol w:w="4094"/>
        <w:gridCol w:w="2121"/>
        <w:gridCol w:w="38"/>
      </w:tblGrid>
      <w:tr w:rsidR="00B32F22" w:rsidRPr="00B32F22" w:rsidTr="00C5795A">
        <w:trPr>
          <w:gridAfter w:val="1"/>
          <w:wAfter w:w="38" w:type="dxa"/>
          <w:trHeight w:val="600"/>
          <w:tblHeader/>
        </w:trPr>
        <w:tc>
          <w:tcPr>
            <w:tcW w:w="1136" w:type="dxa"/>
            <w:shd w:val="clear" w:color="auto" w:fill="D9D9D9" w:themeFill="background1" w:themeFillShade="D9"/>
            <w:vAlign w:val="center"/>
            <w:hideMark/>
          </w:tcPr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2F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Azonosító</w:t>
            </w:r>
          </w:p>
        </w:tc>
        <w:tc>
          <w:tcPr>
            <w:tcW w:w="2187" w:type="dxa"/>
            <w:shd w:val="clear" w:color="auto" w:fill="D9D9D9" w:themeFill="background1" w:themeFillShade="D9"/>
            <w:vAlign w:val="center"/>
          </w:tcPr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2F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Kritérium megnevezése</w:t>
            </w:r>
          </w:p>
        </w:tc>
        <w:tc>
          <w:tcPr>
            <w:tcW w:w="3679" w:type="dxa"/>
            <w:shd w:val="clear" w:color="auto" w:fill="D9D9D9" w:themeFill="background1" w:themeFillShade="D9"/>
            <w:vAlign w:val="center"/>
            <w:hideMark/>
          </w:tcPr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2F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Tartalmi magyarázat</w:t>
            </w:r>
          </w:p>
        </w:tc>
        <w:tc>
          <w:tcPr>
            <w:tcW w:w="4094" w:type="dxa"/>
            <w:shd w:val="clear" w:color="auto" w:fill="D9D9D9" w:themeFill="background1" w:themeFillShade="D9"/>
            <w:vAlign w:val="center"/>
          </w:tcPr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2F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Értékelési módszertan</w:t>
            </w:r>
          </w:p>
        </w:tc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Minősítés</w:t>
            </w:r>
          </w:p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(Megfelelt/</w:t>
            </w:r>
          </w:p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Részben megfelelt/</w:t>
            </w:r>
          </w:p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felelt meg/</w:t>
            </w:r>
          </w:p>
          <w:p w:rsidR="00B32F22" w:rsidRPr="00B32F22" w:rsidRDefault="00B32F22" w:rsidP="00B32F22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releváns)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Kizáró okok vizsgálata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sz w:val="20"/>
                <w:szCs w:val="20"/>
              </w:rPr>
              <w:t>A támogatást igénylő és a támogatási kérelem tárgya nem tartozik a Felhívás 1.2. pontjában meghatározott kizáró okok alá.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Projekt adatlap adatmezői és a megalapozó dokumentum alapján a támogatást igénylő és a támogatási kérelem tárgya nem tartozik a Felhívás 1.2. pontjában meghatározott kizáró okok alá.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Megfelelt</w:t>
            </w:r>
          </w:p>
          <w:p w:rsidR="00B32F22" w:rsidRPr="00B32F22" w:rsidRDefault="00B32F22" w:rsidP="00B32F22">
            <w:pPr>
              <w:spacing w:before="4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B32F22">
              <w:rPr>
                <w:rFonts w:ascii="Arial" w:hAnsi="Arial" w:cs="Arial"/>
                <w:bCs/>
                <w:iCs/>
                <w:sz w:val="20"/>
                <w:szCs w:val="20"/>
              </w:rPr>
              <w:t>A helyzetelemzés alátámasztja a tervezett fejlesztés indokoltságát, szükségességét.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megalapozó dokumentumban kifejtetésre került minden releváns szempont az alábbiakhoz kapcsolódóan:</w:t>
            </w:r>
          </w:p>
          <w:p w:rsidR="00B32F22" w:rsidRPr="00B32F22" w:rsidRDefault="00B32F22" w:rsidP="00B32F22">
            <w:pPr>
              <w:numPr>
                <w:ilvl w:val="0"/>
                <w:numId w:val="8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érintett terület lehatárolása és a meglévő állapot bemutatása,</w:t>
            </w:r>
          </w:p>
          <w:p w:rsidR="00B32F22" w:rsidRPr="00B32F22" w:rsidRDefault="00B32F22" w:rsidP="00B32F22">
            <w:pPr>
              <w:numPr>
                <w:ilvl w:val="0"/>
                <w:numId w:val="8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 fejlesztés indokoltsága, szükségessége,</w:t>
            </w:r>
          </w:p>
          <w:p w:rsidR="00B32F22" w:rsidRPr="00B32F22" w:rsidRDefault="00B32F22" w:rsidP="00B32F22">
            <w:pPr>
              <w:numPr>
                <w:ilvl w:val="0"/>
                <w:numId w:val="8"/>
              </w:numPr>
              <w:spacing w:after="0" w:line="240" w:lineRule="auto"/>
              <w:ind w:left="49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 projekt megalapozottsága (egyszerűsített közgazdasági elemzés).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x-none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megalapozó dokumentumban kifejtett tartalom összhangban van a felhívás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elvárásaival. </w:t>
            </w:r>
            <w:r w:rsidRPr="00B32F22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Kizárólag azok a projektjavaslatok támogathatóak, amelyek a felhívás célkitűzéseivel összhangban álló tevékenységeket tartalmaznak, és helyi szükségleteken alapulnak. A felhívás nem támogat olyan projektjavaslatokat, melyek kihasználatlan kapacitásokat, férőhelyeket eredményeznek.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  <w:p w:rsidR="00B32F22" w:rsidRPr="00B32F22" w:rsidRDefault="00B32F22" w:rsidP="00B32F22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Amennyiben a projekt új férőhelyek létrehozására / férőhelybővítésre irányul, be kell mutatni a Felhívásban meghatározott – adott ellátásra vonatkozó – szempontokat, melyek alapján az új férőhelyek kialakítása megalapozott kell, hogy legyen.</w:t>
            </w:r>
          </w:p>
          <w:p w:rsidR="00B32F22" w:rsidRPr="00B32F22" w:rsidRDefault="00B32F22" w:rsidP="00B32F22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Az 1997. évi XXXI. törvény (Gyvt.) 94.§ (3a) bekezdése értelmében amennyiben a bölcsődei ellátásra az adott településen legalább öt gyermek tekintetében igény jelentkezik, vagy a település 3 év alatti lakosainak száma meghaladja a 40 főt, a települési önkormányzat köteles gondoskodni a gyermekek bölcsődei ellátásáról a bölcsődei ellátást nyújtó intézmények, szolgáltatások bármelyik formájának biztosításával, önállóan, társulásban vagy ellátási szerződés útján. Amennyiben jogszabályi kötelezettség miatt szükséges a bölcsődei ellátás kialakítása, az kifejtésre került a magalapozó dokumentumban.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Cs/>
                <w:sz w:val="20"/>
                <w:szCs w:val="20"/>
              </w:rPr>
              <w:lastRenderedPageBreak/>
              <w:t>Meglévő óvoda fejlesztése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(pl.: átalakítás, felújítás, ingatlankiváltás, eszközbeszerzés stb., ide nem értve a férőhelybővítés esetét) abban az esetben támogatható, amennyiben a fejlesztendő </w:t>
            </w:r>
            <w:proofErr w:type="spellStart"/>
            <w:r w:rsidRPr="00B32F22">
              <w:rPr>
                <w:rFonts w:ascii="Arial" w:eastAsia="Calibri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hely férőhely kihasználtsága (beíratott gyermekek száma) a támogatási kérelem benyújtásának időpontjakor az aktuális nevelési évre vonatkozó OSA adatlapok alapján eléri a </w:t>
            </w:r>
            <w:proofErr w:type="spellStart"/>
            <w:r w:rsidRPr="00B32F22">
              <w:rPr>
                <w:rFonts w:ascii="Arial" w:eastAsia="Calibri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helyenként felvehető maximális gyermeklétszám</w:t>
            </w:r>
            <w:r w:rsidRPr="00B32F22" w:rsidDel="00A509A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>legalább 60,00%-át.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Cs/>
                <w:sz w:val="20"/>
                <w:szCs w:val="20"/>
              </w:rPr>
              <w:t>Férőhelybővítést célzó fejlesztés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kizárólag abban az esetben támogatható, amennyiben a férőhelyek kihasználtsága (beíratott gyermekek száma) a támogatási kérelem benyújtásának időpontjakor az aktuális nevelési évre vonatkozó OSA adatlapok alapján eléri a </w:t>
            </w:r>
            <w:proofErr w:type="spellStart"/>
            <w:r w:rsidRPr="00B32F22">
              <w:rPr>
                <w:rFonts w:ascii="Arial" w:eastAsia="Calibri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helyenként felvehető maximális gyermeklétszám</w:t>
            </w:r>
            <w:r w:rsidRPr="00B32F22" w:rsidDel="00A509A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legalább 90,00%-át. A férőhely kihasználtságnak </w:t>
            </w:r>
            <w:proofErr w:type="spellStart"/>
            <w:r w:rsidRPr="00B32F22">
              <w:rPr>
                <w:rFonts w:ascii="Arial" w:eastAsia="Calibri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 helyenként külön-külön el kell érnie a felvehető maximális gyermeklétszám legalább 90,00%-át.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megalapozó dokumentumban bemutatása került, a helyi hátrányos helyzetű célcsoportokat hogyan segíti a beruházás.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Vizsgálandó, hogy a 2021/1060/EU rendelete 73. cikk (2) c) pontjának való </w:t>
            </w:r>
            <w:r w:rsidRPr="00B32F22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lastRenderedPageBreak/>
              <w:t>megfelelés érdekében bemutatásra került, hogy a választott műszaki megoldások a legoptimálisabbak a tervezett célok eléréséhez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B32F22" w:rsidRPr="00B32F22" w:rsidRDefault="00B32F22" w:rsidP="00B32F22">
            <w:pPr>
              <w:spacing w:before="3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Vizsgálandó, hogy minden releváns kérdés kifejtésre került, valamint hogy a helyzetelemzés a projekt keretében tervezett tevékenységek indokoltságát, célját alátámasztja.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B32F22" w:rsidRPr="00B32F22" w:rsidRDefault="00B32F22" w:rsidP="00B32F22">
            <w:pPr>
              <w:numPr>
                <w:ilvl w:val="0"/>
                <w:numId w:val="1"/>
              </w:numPr>
              <w:spacing w:after="0" w:line="240" w:lineRule="auto"/>
              <w:ind w:left="49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 megalapozó dokumentum értékelési szemponthoz kapcsolódó pontjai,</w:t>
            </w:r>
          </w:p>
          <w:p w:rsidR="00B32F22" w:rsidRPr="00B32F22" w:rsidRDefault="00B32F22" w:rsidP="00B32F22">
            <w:pPr>
              <w:numPr>
                <w:ilvl w:val="0"/>
                <w:numId w:val="9"/>
              </w:numPr>
              <w:spacing w:after="0" w:line="240" w:lineRule="auto"/>
              <w:ind w:left="496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 Felhívás 12.1 pontja szerinti releváns megalapozó dokumentum mellékletek, pl.: 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>OSA4TANU adatlap a04t18 és az OSA2FELH adatlap a02t13 adatlapok benyújtása (óvoda esetén, eredetivel megegyező hitelesített példány)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before="4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hu-HU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támogatást igénylő megfelel a Felhívás 1.1. Ki nyújthat be támogatási kérelmet pontjában foglalt elvárásoknak.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2F22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Vizsgálni szükséges, hogy a projekt a Felhívás 1.1. pontjában foglalt elvárásoknak </w:t>
            </w:r>
            <w:proofErr w:type="spellStart"/>
            <w:r w:rsidRPr="00B32F22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teljeskörűen</w:t>
            </w:r>
            <w:proofErr w:type="spellEnd"/>
            <w:r w:rsidRPr="00B32F22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megfelel.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támogatási kérelmet a bölcsődei/óvodai ellátást nyújtó intézmények, szolgáltatások fenntartói/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fenntartói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jogok gyakorlását ellátó szervezet vagy az épületek tulajdonosai nyújtották-e be, amelyek a támogatást igénylői körbe tartoznak.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Amennyiben a fenntartó és a tulajdonos személye eltérő, vizsgálandó, hogy csatolásra került a támogatási kérelemhez a másik fél hozzájáruló nyilatkozata.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>Projekt adatlap Projekt részletes bemutatása funkció adatai,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>Megalapozó dokumentum kapcsolódó pontjai,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iCs/>
                <w:sz w:val="20"/>
                <w:szCs w:val="20"/>
              </w:rPr>
              <w:t>Fejlesztéssel érintett intézmény alapító vagy létesítő okirata (amennyiben releváns),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iCs/>
                <w:sz w:val="20"/>
                <w:szCs w:val="20"/>
              </w:rPr>
              <w:t>Szolgáltatói nyilvántartásba vételt igazoló dokumentum (működési engedély, amennyiben releváns),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B32F22">
              <w:rPr>
                <w:rFonts w:ascii="Arial" w:eastAsia="Calibri" w:hAnsi="Arial" w:cs="Arial"/>
                <w:sz w:val="20"/>
                <w:szCs w:val="20"/>
              </w:rPr>
              <w:t>Ingatlan(</w:t>
            </w:r>
            <w:proofErr w:type="gramEnd"/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ok) tulajdoni lapja </w:t>
            </w:r>
            <w:r w:rsidRPr="00B32F2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(Amennyiben a Felhívás 1.1. pontja alapján a támogatást igénylő az ingatlan(ok) tulajdonosa, annak igazolásául szükséges a fejlesztendő </w:t>
            </w:r>
            <w:proofErr w:type="spellStart"/>
            <w:r w:rsidRPr="00B32F22">
              <w:rPr>
                <w:rFonts w:ascii="Arial" w:eastAsia="Calibri" w:hAnsi="Arial" w:cs="Arial"/>
                <w:iCs/>
                <w:sz w:val="20"/>
                <w:szCs w:val="20"/>
              </w:rPr>
              <w:t>ingaltan</w:t>
            </w:r>
            <w:proofErr w:type="spellEnd"/>
            <w:r w:rsidRPr="00B32F22">
              <w:rPr>
                <w:rFonts w:ascii="Arial" w:eastAsia="Calibri" w:hAnsi="Arial" w:cs="Arial"/>
                <w:iCs/>
                <w:sz w:val="20"/>
                <w:szCs w:val="20"/>
              </w:rPr>
              <w:t>(ok) tulajdoni lapjának benyújtása a támogatási kérelemmel egyidejűleg.),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>Fenntartó vagy az épület tulajdonosának hozzájáruló támogató nyilatkozata (amennyiben releváns),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>Konzorciumi együttműködési megállapodás támogatási kérelem benyújtásához (amennyiben releváns),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Óvodai ellátás esetén a helyi önkormányzat hozzájáruló nyilatkozata 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lastRenderedPageBreak/>
              <w:t>(amennyiben a támogatás igénylő nem az önkormányzat).</w:t>
            </w:r>
          </w:p>
          <w:p w:rsidR="00B32F22" w:rsidRPr="00B32F22" w:rsidRDefault="00B32F22" w:rsidP="00B32F22">
            <w:pPr>
              <w:numPr>
                <w:ilvl w:val="0"/>
                <w:numId w:val="10"/>
              </w:numPr>
              <w:spacing w:after="0" w:line="240" w:lineRule="auto"/>
              <w:ind w:left="49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Egyéb, </w:t>
            </w: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 Felhívás 12.1 pontja szerinti releváns megalapozó dokumentum melléklet.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before="4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bölcsődei ellátást nyújtó intézmények (bölcsőde, mini bölcsőde) és szolgáltatás (családi bölcsőde) infrastrukturális fejlesztését és férőhelybővítését célzó fejlesztések esetében a projekt tervezésébe és kivitelezés </w:t>
            </w: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nyomon követésébe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bölcsődei módszertani szakértő bevonásra kerül.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 bölcsődei ellátást nyújtó intézmények (bölcsőde és mini bölcsőde), valamint szolgáltatások (családi bölcsőde) kialakítását és férőhelybővítését célzó fejlesztések esetében, a projekt tervezésébe és a szakmai kivitelezés nyomon követésébe bölcsődei módszertani szakértő bevonása kötelező.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támogatási kérelemmel egyidejűleg szükséges benyújtani azt az együttműködési megállapodást, amelyet a támogatást igénylő és a módszertani szervezet kötött. A felhívás mellékletét képezi az együttműködési megállapodás sablon.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Calibri"/>
                <w:color w:val="000000"/>
                <w:sz w:val="20"/>
                <w:szCs w:val="20"/>
              </w:rPr>
              <w:t xml:space="preserve">A támogatási kérelem beadásához szükséges tervek elkészítésében való közreműködésről szóló igazolást legkésőbb az első mérföldkőig szükséges benyújtani. A projekt szakmai kivitelezés nyomon követésében való részvételről szóló igazolást legkésőbb a </w:t>
            </w:r>
            <w:r w:rsidRPr="00B32F22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projekt fizikai befejezésének mérföldkövéig szükséges benyújtani.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Amennyiben a támogatási kérelemmel egyidejűleg már benyújtásra került a bölcsődei módszertani szakértő szakvéleménye is a projekt előkészítéséhez kapcsolódóan, úgy szükséges annak vizsgálata is. Amennyiben a bölcsődei módszertani szakértő megállapításokat tett a projekt vonatkozásában, melyeket a támogatást igénylő nem tervezett be projektjébe és az a felhívás szakmai elvárásai alapján is szükséges, úgy támogatási feltétel írható elő annak betervezésére vonatkozóan.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B32F22" w:rsidRPr="00B32F22" w:rsidRDefault="00B32F22" w:rsidP="00B32F22">
            <w:pPr>
              <w:numPr>
                <w:ilvl w:val="0"/>
                <w:numId w:val="11"/>
              </w:numPr>
              <w:spacing w:after="0" w:line="240" w:lineRule="auto"/>
              <w:ind w:left="49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 xml:space="preserve">A </w:t>
            </w:r>
            <w:r w:rsidRPr="00B32F22">
              <w:rPr>
                <w:rFonts w:ascii="Arial" w:eastAsia="Calibri" w:hAnsi="Arial" w:cs="Arial"/>
                <w:iCs/>
                <w:sz w:val="20"/>
                <w:szCs w:val="20"/>
                <w:lang w:val="x-none"/>
              </w:rPr>
              <w:t xml:space="preserve">támogatást igénylő és a bölcsődei ellátásra kijelölt módszertani szervezet projekt tervezésében és </w:t>
            </w: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szakmai kivitelezés nyomon követésében </w:t>
            </w:r>
            <w:r w:rsidRPr="00B32F22">
              <w:rPr>
                <w:rFonts w:ascii="Arial" w:eastAsia="Calibri" w:hAnsi="Arial" w:cs="Arial"/>
                <w:iCs/>
                <w:sz w:val="20"/>
                <w:szCs w:val="20"/>
                <w:lang w:val="x-none"/>
              </w:rPr>
              <w:t xml:space="preserve">történő részvételére vonatkozó együttműködési megállapodása </w:t>
            </w:r>
            <w:r w:rsidRPr="00B32F22">
              <w:rPr>
                <w:rFonts w:ascii="Arial" w:eastAsia="Calibri" w:hAnsi="Arial" w:cs="Arial"/>
                <w:sz w:val="20"/>
                <w:szCs w:val="20"/>
              </w:rPr>
              <w:t>(A felhívás mellékletét képező sablon minta alapján.)</w:t>
            </w:r>
          </w:p>
          <w:p w:rsidR="00B32F22" w:rsidRPr="00B32F22" w:rsidRDefault="00B32F22" w:rsidP="00B32F22">
            <w:pPr>
              <w:numPr>
                <w:ilvl w:val="0"/>
                <w:numId w:val="11"/>
              </w:numPr>
              <w:spacing w:after="0" w:line="240" w:lineRule="auto"/>
              <w:ind w:left="49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sz w:val="20"/>
                <w:szCs w:val="20"/>
              </w:rPr>
              <w:t>Bölcsődei módszertani szakértő projekt tervezésében történő részvételére vonatkozó igazolás (amennyiben benyújtásra került)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„Nem releváns” minősítés, ha </w:t>
            </w: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az adott fejlesztés óvoda fejlesztésére irányul, továbbá abban az esetben is, amennyiben bölcsőde/mini bölcsőde/családi bölcsőde esetében csak eszközbeszerzés valósul meg, vagy csak a meglévő férőhelyek </w:t>
            </w: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fejlesztése tervezett a projektben, új férőhelyek létrehozása nélkül.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Óvodai férőhelybővítés, óvodai épület újranyitása, új intézményegység vagy új </w:t>
            </w:r>
            <w:proofErr w:type="spellStart"/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hely létrehozása esetén a szakágazati minisztérium előzetes támogató nyilatkozatával rendelkezik a projekt.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Ó</w:t>
            </w: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vodai férőhelybővítés, óvodai épület újranyitása, új óvodai intézményegység vagy új óvodai </w:t>
            </w:r>
            <w:proofErr w:type="spellStart"/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hely létrehozása esetén a szakágazati minisztérium</w:t>
            </w:r>
            <w:r w:rsidRPr="00B32F2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előzetes támogató nyilatkozata</w:t>
            </w: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szükséges a támogatási kérelem benyújtásához.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Vizsgálandó, hogy a projekt rendelkezik-e a szakágazati minisztérium előzetes támogató nyilatkozatával, annak tartalma a projektre vonatkozik.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 szakágazati nyilatkozat sablon minta a felhívás mellékletét képezi.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„Nem releváns” minősítés: ha </w:t>
            </w:r>
            <w:r w:rsidRPr="00B32F2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a projekt nem tartalmazza </w:t>
            </w:r>
            <w:r w:rsidRPr="00B32F22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</w:rPr>
              <w:t>szociális alapellátás és/vagy gyermekjóléti alapellátás f</w:t>
            </w:r>
            <w:r w:rsidRPr="00B32F2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u-HU"/>
              </w:rPr>
              <w:t>érőhelybővítését/új szolgáltatás létrehozását.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A fejlesztéssel érintett óvodai intézmény vállalja a befogadó-elvű nevelési gyakorlat megvalósítását, a beilleszkedési, magatartási nehézséggel küzdő, valamint a többi gyermekkel együtt nevelhető sajátos nevelési igényű (SNI), vagy a hátrányos helyzetű gyermekek </w:t>
            </w: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lastRenderedPageBreak/>
              <w:t xml:space="preserve">integrált/integrációs nevelését, valamint vállalja a kirekesztés nélküli hozzáférés biztosítását (ide nem értve a kizárólag gyógypedagógiai, konduktív pedagógiai nevelést ellátó óvodai </w:t>
            </w:r>
            <w:proofErr w:type="spellStart"/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feladatellátási</w:t>
            </w:r>
            <w:proofErr w:type="spellEnd"/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 helyeket).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A megalapozó dokumentum, valamint a projektdokumentáció alapján szükséges vizsgálni a kritériumnak való megfelelést.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A </w:t>
            </w: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fejlesztéssel érintett óvodai intézmény (ide nem értve a kizárólag gyógypedagógiai, konduktív pedagógiai nevelést ellátó óvodai </w:t>
            </w:r>
            <w:proofErr w:type="spellStart"/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feladatellátási</w:t>
            </w:r>
            <w:proofErr w:type="spellEnd"/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 helyeket) vállalja:</w:t>
            </w:r>
          </w:p>
          <w:p w:rsidR="00B32F22" w:rsidRPr="00B32F22" w:rsidRDefault="00B32F22" w:rsidP="00B32F22">
            <w:pPr>
              <w:numPr>
                <w:ilvl w:val="0"/>
                <w:numId w:val="11"/>
              </w:numPr>
              <w:spacing w:after="0" w:line="240" w:lineRule="auto"/>
              <w:ind w:left="371" w:hanging="283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32F22">
              <w:rPr>
                <w:rFonts w:ascii="Arial" w:eastAsia="Arial" w:hAnsi="Arial" w:cs="Arial"/>
                <w:sz w:val="20"/>
                <w:szCs w:val="20"/>
                <w:lang w:val="hu"/>
              </w:rPr>
              <w:lastRenderedPageBreak/>
              <w:t>a befogadó-elvű nevelési gyakorlat megvalósítását, a beilleszkedési, magatartási nehézséggel küzdő, valamint a többi gyermekkel együtt nevelhető sajátos nevelési igényű (SNI), vagy a hátrányos helyzetű gyermekek integrált/integrációs nevelését</w:t>
            </w:r>
            <w:r w:rsidRPr="00B32F2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valamint </w:t>
            </w:r>
          </w:p>
          <w:p w:rsidR="00B32F22" w:rsidRPr="00B32F22" w:rsidRDefault="00B32F22" w:rsidP="00B32F22">
            <w:pPr>
              <w:numPr>
                <w:ilvl w:val="0"/>
                <w:numId w:val="11"/>
              </w:numPr>
              <w:spacing w:after="0" w:line="240" w:lineRule="auto"/>
              <w:ind w:left="371" w:hanging="283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Cs/>
                <w:sz w:val="20"/>
                <w:szCs w:val="20"/>
              </w:rPr>
              <w:t>a szolgáltatásokhoz való – kirekesztés nélküli – hozzáférést. A fejlesztés szegregációt nem eredményez.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„Nem releváns” minősítés, ha </w:t>
            </w:r>
            <w:r w:rsidRPr="00B32F2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 támogatási kérelem nem tartalmaz óvodafejlesztési tevékenységet.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Partnerség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megfelelő partnerségi kör bevonás, egyeztetés megtörtént, megfelelően tervezett az együttműködés.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20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Vizsgálni szükséges, hogy a projekt céljainak elérése érdekében megfelelően felmérésre került-e a lehetséges partnerek köre és bevonásuk megtörtént-e.</w:t>
            </w:r>
          </w:p>
          <w:p w:rsidR="00B32F22" w:rsidRPr="00B32F22" w:rsidRDefault="00B32F22" w:rsidP="00B32F22">
            <w:pPr>
              <w:spacing w:after="20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Nem csak a konzorciumi együttműködés, hanem az egyéb szakmai együttműködés is elfogadható. </w:t>
            </w:r>
          </w:p>
          <w:p w:rsidR="00B32F22" w:rsidRPr="00B32F22" w:rsidRDefault="00B32F22" w:rsidP="00B32F22">
            <w:pPr>
              <w:spacing w:beforeLines="60" w:before="144" w:afterLines="60" w:after="144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hu-HU"/>
              </w:rPr>
            </w:pPr>
            <w:r w:rsidRPr="00B32F22">
              <w:rPr>
                <w:rFonts w:ascii="Arial" w:eastAsia="Times New Roman" w:hAnsi="Arial" w:cs="Arial"/>
                <w:sz w:val="20"/>
                <w:szCs w:val="24"/>
                <w:lang w:eastAsia="hu-HU"/>
              </w:rPr>
              <w:t>Nem elvárás, hogy minden lehetséges partner bevonása a támogatási kérelem benyújtásáig megtörténjen, azonban a megalapozó dokumentumban szükséges a partnerek körének felmérése és tervezett bevonásuk bemutatása.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B32F22" w:rsidRPr="00B32F22" w:rsidRDefault="00B32F22" w:rsidP="00B32F2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trHeight w:val="236"/>
        </w:trPr>
        <w:tc>
          <w:tcPr>
            <w:tcW w:w="13255" w:type="dxa"/>
            <w:gridSpan w:val="6"/>
            <w:shd w:val="clear" w:color="auto" w:fill="D9D9D9" w:themeFill="background1" w:themeFillShade="D9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Előnyben részesítést biztosító szempontok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Költséghatékonyság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B32F22">
              <w:rPr>
                <w:rFonts w:ascii="Arial" w:hAnsi="Arial" w:cstheme="minorHAnsi"/>
                <w:sz w:val="20"/>
                <w:szCs w:val="20"/>
              </w:rPr>
              <w:t>A projekt „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TPO27 </w:t>
            </w:r>
            <w:r w:rsidRPr="00B32F22">
              <w:rPr>
                <w:rFonts w:ascii="Arial" w:hAnsi="Arial" w:cstheme="minorHAnsi"/>
                <w:sz w:val="20"/>
                <w:szCs w:val="20"/>
              </w:rPr>
              <w:t xml:space="preserve">Újonnan létrehozott, 0-3 éves gyermekek elhelyezését biztosító férőhelyek száma” c. indikátor OP </w:t>
            </w:r>
            <w:r w:rsidRPr="00B32F22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célérték teljesüléséhez való hozzájárulásának mértéke forrásarányos módon tervezett.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: Amennyiben a projektben a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TPO27 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új férőhelyre eső támogatási kérelem 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igényelt támogatási összeg 15 600 000 Ft vagy az alatti.</w:t>
            </w:r>
          </w:p>
          <w:p w:rsidR="00B32F22" w:rsidRPr="00B32F22" w:rsidRDefault="00B32F22" w:rsidP="00B32F22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Részben megfelelt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: Amennyiben a projektben a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TPO27 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új férőhelyre eső támogatási kérelem 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igényelt támogatási összeg 15 600 000 Ft - 20 000 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> Ft közötti.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 Amennyiben a projektben a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TPO27 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indikátorra tett célérték vállalás esetében az 1 új férőhelyre eső támogatási kérelem 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igényelt támogatási összeg 20 000 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> Ft vagy afeletti.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sz w:val="20"/>
                <w:szCs w:val="20"/>
              </w:rPr>
              <w:t xml:space="preserve">A támogatást igénylőnek szükséges bemutatnia a megalapozó dokumentumban a TPO27 indikátorhoz kapcsolódó projektköltségeket és a TPO27 indikátor célérték vállalás alapján az 1 új férőhelyre jutó, támogatási kérelem 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igényelt támogatási összeget. Ha a projekt egyéb fejlesztést is tartalmaz (pl.: meglévő bölcsődei férőhelyek fejlesztését, óvodafejlesztést), úgy az értékelési szempont esetében a költségeket az arányosítási szabályoknak megfelelően szükséges kimutatni.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projekt a kedvezményezett járások besorolásáról szóló </w:t>
            </w:r>
            <w:r w:rsidRPr="00B32F22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br/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290/2014 (XI.26) Kormányrendelet értelmében kedvezményezett,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fejlesztendő vagy komplex programmal fejlesztendő járásban valósul meg.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Az</w:t>
            </w: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értékelés vizsgálata 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290/2014. (XI. 26.) Korm. rendelet 3. sz. melléklete alapján történik: </w:t>
            </w:r>
            <w:hyperlink r:id="rId7" w:history="1">
              <w:r w:rsidRPr="00B32F22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http://njt.hu</w:t>
              </w:r>
            </w:hyperlink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Nem felelt meg: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helyszíne a jogszabállyal nem érintett járás területén valósul meg.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Részben megfelelt: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kedvezményezett járás / fejlesztendő járás területén valósul meg.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Megfelelt:</w:t>
            </w: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komplex programmal fejlesztendő járás területén valósul meg.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Amennyiben a projekt több járás közigazgatási területét érinti, úgy minden érintett járás figyelembe vehető és már egy járás érintettsége esetén részben megfelelt/</w:t>
            </w:r>
            <w:proofErr w:type="spellStart"/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>megfelelt</w:t>
            </w:r>
            <w:proofErr w:type="spellEnd"/>
            <w:r w:rsidRPr="00B32F2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minősítés adható. Amennyiben több járás érintett, melyek eltérő kategóriába tartoznak, az adott projekt szempontjából releváns legmagasabb kategóriát szükséges figyelembe venni.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Integráltság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projekt több önállóan támogatható tevékenységre terjed ki</w:t>
            </w:r>
            <w:r w:rsidRPr="00B32F22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 xml:space="preserve"> és </w:t>
            </w: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választható, önállóan nem támogatható tevékenységet is tartalmaz.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B32F22">
              <w:rPr>
                <w:rFonts w:ascii="Arial" w:hAnsi="Arial" w:cstheme="minorHAnsi"/>
                <w:b/>
                <w:sz w:val="20"/>
                <w:szCs w:val="20"/>
              </w:rPr>
              <w:t>Megfelelt</w:t>
            </w:r>
            <w:r w:rsidRPr="00B32F22">
              <w:rPr>
                <w:rFonts w:ascii="Arial" w:hAnsi="Arial" w:cstheme="minorHAnsi"/>
                <w:sz w:val="20"/>
                <w:szCs w:val="20"/>
              </w:rPr>
              <w:t>: a projekt egynél több önállóan támogatható tevékenységet és legalább egy választható, önállóan nem támogatható tevékenységet tartalmaz.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B32F22">
              <w:rPr>
                <w:rFonts w:ascii="Arial" w:hAnsi="Arial" w:cstheme="minorHAnsi"/>
                <w:b/>
                <w:sz w:val="20"/>
                <w:szCs w:val="20"/>
              </w:rPr>
              <w:t>Részben megfelelt:</w:t>
            </w:r>
            <w:r w:rsidRPr="00B32F22">
              <w:rPr>
                <w:rFonts w:ascii="Arial" w:hAnsi="Arial" w:cstheme="minorHAnsi"/>
                <w:sz w:val="20"/>
                <w:szCs w:val="20"/>
              </w:rPr>
              <w:t xml:space="preserve"> a projekt csak egy önállóan támogatható tevékenységet és legalább egy választható, önállóan nem támogatható tevékenységet tartalmaz.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theme="minorHAnsi"/>
                <w:b/>
                <w:sz w:val="20"/>
                <w:szCs w:val="20"/>
              </w:rPr>
              <w:t>Nem felelt meg:</w:t>
            </w:r>
            <w:r w:rsidRPr="00B32F22">
              <w:rPr>
                <w:rFonts w:ascii="Arial" w:hAnsi="Arial" w:cstheme="minorHAnsi"/>
                <w:sz w:val="20"/>
                <w:szCs w:val="20"/>
              </w:rPr>
              <w:t xml:space="preserve"> fejlesztés csak egy önállóan támogatható tevékenységet tartalmaz választható, önállóan nem támogatható tevékenység nélkül.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B32F22" w:rsidRPr="00B32F22" w:rsidTr="00C5795A">
        <w:trPr>
          <w:gridAfter w:val="1"/>
          <w:wAfter w:w="38" w:type="dxa"/>
          <w:trHeight w:val="600"/>
        </w:trPr>
        <w:tc>
          <w:tcPr>
            <w:tcW w:w="1136" w:type="dxa"/>
            <w:shd w:val="clear" w:color="auto" w:fill="auto"/>
            <w:vAlign w:val="center"/>
          </w:tcPr>
          <w:p w:rsidR="00B32F22" w:rsidRPr="00B32F22" w:rsidRDefault="00B32F22" w:rsidP="00B32F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187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Szinergia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B32F22" w:rsidRPr="00B32F22" w:rsidRDefault="00B32F22" w:rsidP="00B32F22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B32F22">
              <w:rPr>
                <w:rFonts w:ascii="Arial" w:eastAsia="Times New Roman" w:hAnsi="Arial" w:cs="Arial"/>
                <w:sz w:val="19"/>
                <w:szCs w:val="19"/>
                <w:lang w:eastAsia="hu-HU"/>
              </w:rPr>
              <w:t>A projekt kapcsolódik uniós vagy hazai forrásból támogatott fejlesztésekhez.</w:t>
            </w:r>
          </w:p>
        </w:tc>
        <w:tc>
          <w:tcPr>
            <w:tcW w:w="4094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: Amennyiben a projekt közvetlenül kapcsolódik uniós vagy hazai forrásból támogatott fejlesztésekhez is (pl.: a korábban </w:t>
            </w:r>
            <w:r w:rsidRPr="00B32F22">
              <w:rPr>
                <w:rFonts w:ascii="Arial" w:hAnsi="Arial" w:cs="Arial"/>
                <w:sz w:val="20"/>
                <w:szCs w:val="20"/>
              </w:rPr>
              <w:lastRenderedPageBreak/>
              <w:t>fejlesztéssel érintett épületben további férőhelybővítésre / eszközbeszerzésre kerül sor).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Részben megfelelt: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 Amennyiben a projekt közvetetten kapcsolódik uniós vagy hazai forrásból támogatott fejlesztésekhez. (Pl.: a fejlesztéssel érintett épület/épületrész </w:t>
            </w:r>
            <w:r w:rsidRPr="00B32F2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közvetlen környezetében [közvetlenül határos telken] közterület beruházásra kerül sor (pl.: út vagy kerékpárút építés/fejlesztés az elérhetőség segítésére, közlekedésbiztonság elősegítése, vagy park-, játszótérfejlesztés))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B32F22">
              <w:rPr>
                <w:rFonts w:ascii="Arial" w:hAnsi="Arial" w:cs="Arial"/>
                <w:sz w:val="20"/>
                <w:szCs w:val="20"/>
              </w:rPr>
              <w:t xml:space="preserve"> Amennyiben a projekt közvetlenül és közvetetten sem kapcsolódik egyéb uniós vagy hazai forrásból támogatott fejlesztéshez.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F22">
              <w:rPr>
                <w:rFonts w:ascii="Arial" w:hAnsi="Arial" w:cs="Arial"/>
                <w:sz w:val="20"/>
                <w:szCs w:val="20"/>
              </w:rPr>
              <w:t>Közvetlen és közvetett kapcsolódás alatt is a hatályos támogatási szerződéssel rendelkező és/vagy megvalósult projektek értendők. A megalapozó dokumentumban szükséges bemutatni a szempontnak való megfelelést a kapcsolódó projekt rövid bemutatásával és projekt azonosítójának megadásával.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F22">
              <w:rPr>
                <w:rFonts w:ascii="Arial" w:hAnsi="Arial" w:cs="Arial"/>
                <w:sz w:val="20"/>
                <w:szCs w:val="20"/>
              </w:rPr>
              <w:t>Amennyiben a projekt több telephely/szolgáltatás/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hely fejlesztését érinti, legalább az egyik fejlesztéssel érintett telephely/szolgáltatás/</w:t>
            </w:r>
            <w:proofErr w:type="spellStart"/>
            <w:r w:rsidRPr="00B32F22">
              <w:rPr>
                <w:rFonts w:ascii="Arial" w:hAnsi="Arial" w:cs="Arial"/>
                <w:sz w:val="20"/>
                <w:szCs w:val="20"/>
              </w:rPr>
              <w:t>feladatellátási</w:t>
            </w:r>
            <w:proofErr w:type="spellEnd"/>
            <w:r w:rsidRPr="00B32F22">
              <w:rPr>
                <w:rFonts w:ascii="Arial" w:hAnsi="Arial" w:cs="Arial"/>
                <w:sz w:val="20"/>
                <w:szCs w:val="20"/>
              </w:rPr>
              <w:t xml:space="preserve"> hely esetében a kapcsolódásnak megállapíthatónak kell lennie.</w:t>
            </w:r>
          </w:p>
        </w:tc>
        <w:tc>
          <w:tcPr>
            <w:tcW w:w="2121" w:type="dxa"/>
            <w:vAlign w:val="center"/>
          </w:tcPr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B32F22" w:rsidRPr="00B32F22" w:rsidRDefault="00B32F22" w:rsidP="00B32F2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32F22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</w:tbl>
    <w:p w:rsidR="00B32F22" w:rsidRDefault="00B32F22"/>
    <w:p w:rsidR="00B32F22" w:rsidRPr="00B32F22" w:rsidRDefault="00B32F22" w:rsidP="00B32F22">
      <w:pPr>
        <w:widowControl w:val="0"/>
        <w:suppressAutoHyphens/>
        <w:spacing w:before="3600" w:after="0" w:line="276" w:lineRule="auto"/>
        <w:jc w:val="center"/>
        <w:rPr>
          <w:rFonts w:ascii="Arial" w:eastAsia="DejaVu Sans" w:hAnsi="Arial" w:cs="Arial"/>
          <w:b/>
          <w:bCs/>
          <w:sz w:val="28"/>
          <w:szCs w:val="28"/>
          <w:lang w:eastAsia="hu-HU" w:bidi="hi-IN"/>
        </w:rPr>
      </w:pPr>
      <w:proofErr w:type="spellStart"/>
      <w:r w:rsidRPr="00B32F22">
        <w:rPr>
          <w:rFonts w:ascii="Arial" w:eastAsia="DejaVu Sans" w:hAnsi="Arial" w:cs="Arial"/>
          <w:b/>
          <w:bCs/>
          <w:sz w:val="28"/>
          <w:szCs w:val="28"/>
          <w:lang w:eastAsia="hu-HU" w:bidi="hi-IN"/>
        </w:rPr>
        <w:lastRenderedPageBreak/>
        <w:t>Területspecifikus</w:t>
      </w:r>
      <w:proofErr w:type="spellEnd"/>
      <w:r w:rsidRPr="00B32F22">
        <w:rPr>
          <w:rFonts w:ascii="Arial" w:eastAsia="DejaVu Sans" w:hAnsi="Arial" w:cs="Arial"/>
          <w:b/>
          <w:bCs/>
          <w:sz w:val="28"/>
          <w:szCs w:val="28"/>
          <w:lang w:eastAsia="hu-HU" w:bidi="hi-IN"/>
        </w:rPr>
        <w:t xml:space="preserve"> kiválasztási kritériumok </w:t>
      </w:r>
    </w:p>
    <w:p w:rsidR="00B32F22" w:rsidRPr="00B32F22" w:rsidRDefault="00B32F22" w:rsidP="00B32F22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sz w:val="28"/>
          <w:szCs w:val="28"/>
          <w:lang w:eastAsia="zh-CN" w:bidi="hi-IN"/>
        </w:rPr>
      </w:pPr>
      <w:proofErr w:type="gramStart"/>
      <w:r w:rsidRPr="00B32F22">
        <w:rPr>
          <w:rFonts w:ascii="Arial" w:eastAsia="DejaVu Sans" w:hAnsi="Arial" w:cs="Arial"/>
          <w:b/>
          <w:sz w:val="28"/>
          <w:szCs w:val="28"/>
          <w:lang w:eastAsia="zh-CN" w:bidi="hi-IN"/>
        </w:rPr>
        <w:t>a</w:t>
      </w:r>
      <w:proofErr w:type="gramEnd"/>
      <w:r w:rsidRPr="00B32F22">
        <w:rPr>
          <w:rFonts w:ascii="Arial" w:eastAsia="DejaVu Sans" w:hAnsi="Arial" w:cs="Arial"/>
          <w:b/>
          <w:sz w:val="28"/>
          <w:szCs w:val="28"/>
          <w:lang w:eastAsia="zh-CN" w:bidi="hi-IN"/>
        </w:rPr>
        <w:t xml:space="preserve"> TOP Plusz-3.3.1-21 kódszámú,</w:t>
      </w:r>
    </w:p>
    <w:p w:rsidR="00B32F22" w:rsidRDefault="00B32F22" w:rsidP="00B32F22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28"/>
          <w:szCs w:val="28"/>
          <w:lang w:eastAsia="zh-CN" w:bidi="hi-IN"/>
        </w:rPr>
      </w:pPr>
      <w:r w:rsidRPr="00B32F22">
        <w:rPr>
          <w:rFonts w:ascii="Arial" w:eastAsia="DejaVu Sans" w:hAnsi="Arial" w:cs="Arial"/>
          <w:b/>
          <w:color w:val="000000"/>
          <w:sz w:val="28"/>
          <w:szCs w:val="28"/>
          <w:lang w:eastAsia="zh-CN" w:bidi="hi-IN"/>
        </w:rPr>
        <w:t>Gyermeknevelést támogató humán infrastruktúra fejlesztése című felhívásban</w:t>
      </w:r>
    </w:p>
    <w:p w:rsidR="00E257D5" w:rsidRDefault="00E257D5" w:rsidP="0011723A">
      <w:pPr>
        <w:widowControl w:val="0"/>
        <w:suppressAutoHyphens/>
        <w:spacing w:after="0" w:line="240" w:lineRule="auto"/>
        <w:rPr>
          <w:rFonts w:ascii="Arial" w:eastAsia="DejaVu Sans" w:hAnsi="Arial" w:cs="Arial"/>
          <w:b/>
          <w:color w:val="000000"/>
          <w:sz w:val="28"/>
          <w:szCs w:val="28"/>
          <w:lang w:eastAsia="zh-CN" w:bidi="hi-IN"/>
        </w:rPr>
      </w:pPr>
      <w:bookmarkStart w:id="1" w:name="_GoBack"/>
      <w:bookmarkEnd w:id="1"/>
    </w:p>
    <w:p w:rsidR="00E257D5" w:rsidRPr="00E257D5" w:rsidRDefault="00E257D5" w:rsidP="00E257D5">
      <w:pPr>
        <w:keepNext/>
        <w:keepLines/>
        <w:widowControl w:val="0"/>
        <w:suppressAutoHyphens/>
        <w:spacing w:before="240" w:after="240" w:line="276" w:lineRule="auto"/>
        <w:outlineLvl w:val="0"/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</w:pPr>
      <w:bookmarkStart w:id="2" w:name="_Toc136425176"/>
      <w:r w:rsidRPr="00E257D5"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  <w:t>Győr-Moson-Sopron vármegye</w:t>
      </w:r>
      <w:bookmarkEnd w:id="2"/>
    </w:p>
    <w:p w:rsidR="00E257D5" w:rsidRPr="00E257D5" w:rsidRDefault="00E257D5" w:rsidP="00E257D5">
      <w:pPr>
        <w:keepNext/>
        <w:widowControl w:val="0"/>
        <w:suppressAutoHyphens/>
        <w:spacing w:after="120" w:line="240" w:lineRule="auto"/>
        <w:jc w:val="both"/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</w:pP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 xml:space="preserve">A </w:t>
      </w:r>
      <w:proofErr w:type="spellStart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>Pannonhalma-Sokoró-Bakonyalja</w:t>
      </w:r>
      <w:proofErr w:type="spellEnd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 xml:space="preserve"> fejlesztési térség</w:t>
      </w:r>
      <w:r w:rsidRPr="00E257D5">
        <w:rPr>
          <w:rFonts w:ascii="Arial" w:eastAsia="DejaVu Sans" w:hAnsi="Arial" w:cs="Arial"/>
          <w:b/>
          <w:sz w:val="20"/>
          <w:szCs w:val="20"/>
          <w:lang w:eastAsia="zh-CN" w:bidi="hi-IN"/>
        </w:rPr>
        <w:t xml:space="preserve"> </w:t>
      </w: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>terület-specifikus értékelési szempontjai:</w:t>
      </w:r>
    </w:p>
    <w:tbl>
      <w:tblPr>
        <w:tblW w:w="5143" w:type="pct"/>
        <w:tblInd w:w="-72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3545"/>
        <w:gridCol w:w="1843"/>
        <w:gridCol w:w="7796"/>
      </w:tblGrid>
      <w:tr w:rsidR="00E257D5" w:rsidRPr="00E257D5" w:rsidTr="00796EBF">
        <w:trPr>
          <w:trHeight w:val="271"/>
          <w:tblHeader/>
        </w:trPr>
        <w:tc>
          <w:tcPr>
            <w:tcW w:w="414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Értékelési szempont</w:t>
            </w:r>
          </w:p>
        </w:tc>
        <w:tc>
          <w:tcPr>
            <w:tcW w:w="641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Adható pontszám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Magyarázat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0.</w:t>
            </w:r>
          </w:p>
        </w:tc>
        <w:tc>
          <w:tcPr>
            <w:tcW w:w="1233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tartalmi megfelelősége.</w:t>
            </w:r>
          </w:p>
        </w:tc>
        <w:tc>
          <w:tcPr>
            <w:tcW w:w="64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0-28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általános és felhívás-specifikus szövegesen értékelt releváns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kiválasztási 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kritériumok alapján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elért pontszám arányos összege.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20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Hozzájárulás a megyei területfejlesztési program prioritásaihoz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1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Győr-Moson-Sopron Megyei Területfejlesztési Stratégiai Program 3. Prioritások azonosítása fejezet (28. oldaltól).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illeszkedik, és részletesen bemutatja az adott prioritáshoz való illeszkedést.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Prioritás 2 (35. oldal): Versenyképes munkaerő (tudás, képzés, oktatás)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1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Győr-Moson-Sopron Megyei Területfejlesztési Stratégiai Program 2.1.4. TERÜLETI CÉLOK (17. oldaltól).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illeszkedik. Az illeszkedés bemutatásra kerül.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1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 xml:space="preserve"> „Az új vagy korszerűsített gyermekgondozási létesítmények osztálytermi kapacitása” c. szakmai adatszolgáltatási mutatóhoz való hozzájárulás.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0/4/6/8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Bölcsődei férőhelyek esetében: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lastRenderedPageBreak/>
              <w:t xml:space="preserve">Mini bölcsőde: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1-5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6-10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 xml:space="preserve">Családi bölcsőde létrehozása: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Létrehoz családi bölcsődét.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Óvoda: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: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21-30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30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Projekt adatlap Monitoring mutatók funkciójában rögzített vállalás, valamint a megalapozó dokumentumban kifejtett részletezés alapján vizsgálandó.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1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pályázat konzorciumban történő megvalósítása.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önállóan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konzorciumban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vizsgálata a támogatási kérelemhez benyújtott konzorciumi együttműködési megállapodás alapján történik.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20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>A településen korábban nem elérhető szolgáltatást biztosító intézmény létesítése.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létesít új intézményt.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Létesít új intézményt:</w:t>
            </w:r>
          </w:p>
          <w:p w:rsidR="00E257D5" w:rsidRPr="00E257D5" w:rsidRDefault="00E257D5" w:rsidP="00E257D5">
            <w:pPr>
              <w:widowControl w:val="0"/>
              <w:numPr>
                <w:ilvl w:val="0"/>
                <w:numId w:val="19"/>
              </w:numPr>
              <w:suppressAutoHyphens/>
              <w:spacing w:before="20" w:after="20" w:line="240" w:lineRule="auto"/>
              <w:ind w:left="498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új bölcsődei ellátás (bölcsőde/mini bölcsőde/családi bölcsőde)</w:t>
            </w:r>
          </w:p>
          <w:p w:rsidR="00E257D5" w:rsidRPr="00E257D5" w:rsidRDefault="00E257D5" w:rsidP="00E257D5">
            <w:pPr>
              <w:widowControl w:val="0"/>
              <w:numPr>
                <w:ilvl w:val="0"/>
                <w:numId w:val="19"/>
              </w:numPr>
              <w:suppressAutoHyphens/>
              <w:spacing w:before="20" w:after="20" w:line="240" w:lineRule="auto"/>
              <w:ind w:left="498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új óvodai ellátás (pl.: új telephely létesítése)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érintett intézmény vállalja, hogy a szülők munkaidejéhez rugalmasan alkalmazkodik.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bemutatni."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20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Területi egyenlőtlenségek csökkentése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>A tervezett projekt a 290/2014. (XI. 26.) Korm. rendelet alapján besorolt kedvezményezett járásba, illetve a Győr-Moson-Sopron Megyei Közgyűlés 8/2016. (II..26.) számú határozata értelmében regionális szempontból kedvezményezett járásba tartozó településen valósul meg.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0/1/2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nem kedvezményezett járásban található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a megye által besorolt regionális szempontból kedvezményezett járáshoz tartozó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a 290/2014. (XI. 26.) Korm. rendelet alapján meghatározott kedvezményezett járásban található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szolgáltatást igénybevevő települések összesített lakónépesség száma.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3/6/8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2000 fő alatti a lakónépesség száma.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2000-5000 fő között alakul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5000 fő feletti a lakónépesség száma.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Adatok forrásának a támogatási kérelem benyújtásakor legfrissebb KSH helyiségnévtár (</w:t>
            </w:r>
            <w:hyperlink r:id="rId8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https://www.ksh.hu/apps/hntr.main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) adatokat szükséges tekinteni.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Amennyiben több települést érint a fejlesztés, a legnagyobb lakónépességű település pontszáma adható meg. A lakónépesség településenként nem kumulálandó.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fejlesztés által érintett intézmény ellátási körzete (bölcsőde, óvoda), valamint családi bölcsőde.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nyújt más település számára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Más településen élő gyerekeknek is nyújt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Az érintett korosztály (0-6 év közöttiek) számának alakulása az elmúlt 5 évben.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0/1/5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Csökken.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Az elmúlt 5 évben nem változott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Növekszik.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 KSH (</w:t>
            </w:r>
            <w:hyperlink r:id="rId9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elmúlt 5 év adatait és azok tendenciáit a támogatási kérelem benyújtását megelőző 5 évre vonatkozóan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20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Társadalmi kohézió erősítése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20"/>
              </w:numPr>
              <w:suppressAutoHyphens/>
              <w:spacing w:before="20" w:after="2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</w:pPr>
            <w:r w:rsidRPr="00E257D5"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  <w:t>Az adott korosztályon belül (0-6 éves népességen belül) mekkora a hátrányos helyzetű (HH), és a halmozottan hátrányos helyzetű (HHH) gyerekek aránya a fejlesztéssel érintett településen.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0-3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HH és HHH gyermekek aránya egybeszámítandó.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5,0% alatt.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5,0-10,0%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10,1-20,0%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20,0% felett.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szempontnak való megfelelést a megalapozó dokumentumban szükséges bemutatni 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lastRenderedPageBreak/>
              <w:t>KSH (</w:t>
            </w:r>
            <w:hyperlink r:id="rId10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</w:tc>
      </w:tr>
      <w:tr w:rsidR="00E257D5" w:rsidRPr="00E257D5" w:rsidTr="00796EBF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14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Összesen:</w:t>
            </w:r>
          </w:p>
        </w:tc>
        <w:tc>
          <w:tcPr>
            <w:tcW w:w="64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57D5">
              <w:rPr>
                <w:rFonts w:ascii="Arial" w:eastAsia="Calibri" w:hAnsi="Arial" w:cs="Arial"/>
                <w:b/>
                <w:sz w:val="20"/>
                <w:szCs w:val="20"/>
              </w:rPr>
              <w:t>79</w:t>
            </w:r>
          </w:p>
        </w:tc>
        <w:tc>
          <w:tcPr>
            <w:tcW w:w="271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</w:tr>
    </w:tbl>
    <w:p w:rsidR="00E257D5" w:rsidRPr="00E257D5" w:rsidRDefault="00E257D5" w:rsidP="00E257D5">
      <w:pPr>
        <w:keepNext/>
        <w:widowControl w:val="0"/>
        <w:suppressAutoHyphens/>
        <w:spacing w:before="240" w:after="120" w:line="240" w:lineRule="auto"/>
        <w:jc w:val="both"/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</w:pP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 xml:space="preserve">Az </w:t>
      </w:r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 xml:space="preserve">Alpokalja-Fertő táj fejlesztési térség és </w:t>
      </w:r>
      <w:proofErr w:type="spellStart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>Szigetköz-Mosoni</w:t>
      </w:r>
      <w:proofErr w:type="spellEnd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 xml:space="preserve"> sík</w:t>
      </w:r>
      <w:r w:rsidRPr="00E257D5">
        <w:rPr>
          <w:rFonts w:ascii="Arial" w:eastAsia="DejaVu Sans" w:hAnsi="Arial" w:cs="Arial"/>
          <w:b/>
          <w:sz w:val="20"/>
          <w:szCs w:val="20"/>
          <w:lang w:eastAsia="zh-CN" w:bidi="hi-IN"/>
        </w:rPr>
        <w:t xml:space="preserve"> </w:t>
      </w: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>terület-specifikus értékelési szempontjai:</w:t>
      </w:r>
    </w:p>
    <w:tbl>
      <w:tblPr>
        <w:tblW w:w="5143" w:type="pct"/>
        <w:tblInd w:w="-72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3545"/>
        <w:gridCol w:w="1843"/>
        <w:gridCol w:w="7796"/>
      </w:tblGrid>
      <w:tr w:rsidR="00E257D5" w:rsidRPr="00E257D5" w:rsidTr="00796EBF">
        <w:trPr>
          <w:trHeight w:val="271"/>
          <w:tblHeader/>
        </w:trPr>
        <w:tc>
          <w:tcPr>
            <w:tcW w:w="414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Értékelési szempont</w:t>
            </w:r>
          </w:p>
        </w:tc>
        <w:tc>
          <w:tcPr>
            <w:tcW w:w="641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Adható pontszám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Magyarázat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0.</w:t>
            </w:r>
          </w:p>
        </w:tc>
        <w:tc>
          <w:tcPr>
            <w:tcW w:w="1233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tartalmi megfelelősége.</w:t>
            </w:r>
          </w:p>
        </w:tc>
        <w:tc>
          <w:tcPr>
            <w:tcW w:w="64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0-24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általános és felhívás-specifikus szövegesen értékelt releváns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kiválasztási 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kritériumok alapján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elért pontszám arányos összege.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Hozzájárulás a megyei területfejlesztési program prioritásaihoz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3. Prioritások azonosítása fejezet (28. oldaltól).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illeszkedik, és részletesen bemutatja az adott prioritáshoz való illeszkedést.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Prioritás 2 (35. oldal): Versenyképes munkaerő (tudás, képzés, oktatás)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2.1.4. TERÜLETI CÉLOK (17. oldaltól).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: A tervezett projekt illeszkedik. Az illeszkedés bemutatásra kerül.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 xml:space="preserve">„Az új vagy korszerűsített gyermekgondozási létesítmények osztálytermi kapacitása” c. szakmai adatszolgáltatási mutatóhoz való hozzájárulás. 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0/4/6/8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Bölcsődei férőhelyek esetében: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 xml:space="preserve">Mini bölcsőde: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1-5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6-10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 xml:space="preserve">Családi bölcsőde létrehozása: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Létrehoz családi bölcsődét.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Óvoda: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 xml:space="preserve">4 pont: 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21-30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30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Projekt adatlap Monitoring mutatók funkciójában rögzített vállalás, valamint a megalapozó dokumentumban kifejtett részletezés alapján vizsgálandó.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pályázat konzorciumban történő megvalósítása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önállóan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konzorciumban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vizsgálata a támogatási kérelemhez benyújtott konzorciumi együttműködési megállapodás alapján történik.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 xml:space="preserve">A településen korábban nem elérhető szolgáltatást biztosító intézmény létesítése.  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létesít új intézményt.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pont: Létesít új intézményt: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- új bölcsődei ellátás (bölcsőde/mini bölcsőde/családi bölcsőde)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- új óvodai ellátás (pl.: új telephely létesítése)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érintett intézmény vállalja, hogy a szülők munkaidejéhez rugalmasan alkalmazkodik.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Területi egyenlőtlenségek csökkentése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 xml:space="preserve">A </w:t>
            </w: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szolgáltatást igénybevevő települések összesített </w:t>
            </w: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>lakónépesség száma.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2/4/6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2000 fő alatti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2000-5000 fő között alakul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5000 fő feletti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Adatok forrásának a támogatási kérelem benyújtásakor legfrissebb KSH helyiségnévtár (</w:t>
            </w:r>
            <w:hyperlink r:id="rId11" w:history="1">
              <w:r w:rsidRPr="00E257D5">
                <w:rPr>
                  <w:rFonts w:ascii="Arial" w:eastAsia="DejaVu Sans" w:hAnsi="Arial" w:cs="Arial"/>
                  <w:bCs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https://www.ksh.hu/apps/hntr.main</w:t>
              </w:r>
            </w:hyperlink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) adatokat szükséges tekinteni.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Amennyiben több települést érint a fejlesztés, a legnagyobb lakónépességű település pontszáma adható meg. A lakónépesség településenként nem kumulálandó.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fejlesztés által érintett intézmény ellátási körzete (bölcsőde, óvoda), valamint családi bölcsőde.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nyújt más település számára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Más településen élő gyerekeknek is nyújt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Az érintett korosztály (0-6 év közöttiek) számának alakulása az elmúlt 5 évben.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0/1/4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Csökken.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Az elmúlt 5 évben nem változott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Növekszik.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 KSH (</w:t>
            </w:r>
            <w:hyperlink r:id="rId12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elmúlt 5 év adatait és azok tendenciáit a támogatási kérelem benyújtását megelőző 5 évre vonatkozóan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86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Társadalmi kohézió erősítése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14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</w:pPr>
            <w:r w:rsidRPr="00E257D5"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  <w:t>Az adott korosztályon belül (0-6 éves népességen belül) mekkora a hátrányos helyzetű (HH), és a halmozottan hátrányos helyzetű (HHH) gyerekek aránya a fejlesztéssel érintett településen.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0-3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HH és HHH gyermekek aránya egybeszámítandó.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5,0% alatt.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5,0-10,0%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10,1-20,0%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: 20,0% felett.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 KSH (</w:t>
            </w:r>
            <w:hyperlink r:id="rId13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</w:tc>
      </w:tr>
      <w:tr w:rsidR="00E257D5" w:rsidRPr="00E257D5" w:rsidTr="00796EBF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14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3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Összesen:</w:t>
            </w:r>
          </w:p>
        </w:tc>
        <w:tc>
          <w:tcPr>
            <w:tcW w:w="64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57D5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271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</w:tr>
    </w:tbl>
    <w:p w:rsidR="00E257D5" w:rsidRPr="00E257D5" w:rsidRDefault="00E257D5" w:rsidP="00E257D5">
      <w:pPr>
        <w:keepNext/>
        <w:widowControl w:val="0"/>
        <w:suppressAutoHyphens/>
        <w:spacing w:before="240" w:after="120" w:line="240" w:lineRule="auto"/>
        <w:jc w:val="both"/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</w:pP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 xml:space="preserve">A </w:t>
      </w:r>
      <w:proofErr w:type="spellStart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>Kapuvár-Csorna-Tét</w:t>
      </w:r>
      <w:proofErr w:type="spellEnd"/>
      <w:r w:rsidRPr="00E257D5">
        <w:rPr>
          <w:rFonts w:ascii="Arial" w:eastAsia="DejaVu Sans" w:hAnsi="Arial" w:cs="Arial"/>
          <w:b/>
          <w:sz w:val="20"/>
          <w:szCs w:val="20"/>
          <w:u w:val="single"/>
          <w:lang w:eastAsia="zh-CN" w:bidi="hi-IN"/>
        </w:rPr>
        <w:t xml:space="preserve"> fejlesztési térség</w:t>
      </w:r>
      <w:r w:rsidRPr="00E257D5">
        <w:rPr>
          <w:rFonts w:ascii="Arial" w:eastAsia="DejaVu Sans" w:hAnsi="Arial" w:cs="Arial"/>
          <w:b/>
          <w:bCs/>
          <w:iCs/>
          <w:sz w:val="20"/>
          <w:szCs w:val="20"/>
          <w:lang w:eastAsia="zh-CN" w:bidi="hi-IN"/>
        </w:rPr>
        <w:t xml:space="preserve"> terület-specifikus értékelési szempontjai:</w:t>
      </w:r>
    </w:p>
    <w:tbl>
      <w:tblPr>
        <w:tblW w:w="5143" w:type="pct"/>
        <w:tblInd w:w="-72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3490"/>
        <w:gridCol w:w="1843"/>
        <w:gridCol w:w="7796"/>
      </w:tblGrid>
      <w:tr w:rsidR="00E257D5" w:rsidRPr="00E257D5" w:rsidTr="00796EBF">
        <w:trPr>
          <w:trHeight w:val="271"/>
          <w:tblHeader/>
        </w:trPr>
        <w:tc>
          <w:tcPr>
            <w:tcW w:w="433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Értékelési szempont</w:t>
            </w:r>
          </w:p>
        </w:tc>
        <w:tc>
          <w:tcPr>
            <w:tcW w:w="641" w:type="pct"/>
            <w:shd w:val="clear" w:color="auto" w:fill="E0E0E0"/>
            <w:vAlign w:val="center"/>
            <w:hideMark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Adható pontszám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Magyarázat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shd w:val="clear" w:color="auto" w:fill="E0E0E0"/>
            <w:noWrap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0.</w:t>
            </w:r>
          </w:p>
        </w:tc>
        <w:tc>
          <w:tcPr>
            <w:tcW w:w="1214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tartalmi megfelelősége.</w:t>
            </w:r>
          </w:p>
        </w:tc>
        <w:tc>
          <w:tcPr>
            <w:tcW w:w="64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0-25</w:t>
            </w:r>
          </w:p>
        </w:tc>
        <w:tc>
          <w:tcPr>
            <w:tcW w:w="2711" w:type="pct"/>
            <w:shd w:val="clear" w:color="auto" w:fill="E0E0E0"/>
            <w:vAlign w:val="center"/>
          </w:tcPr>
          <w:p w:rsidR="00E257D5" w:rsidRPr="00E257D5" w:rsidRDefault="00E257D5" w:rsidP="00E257D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általános és felhívás-specifikus szövegesen értékelt releváns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kiválasztási 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kritériumok alapján</w:t>
            </w:r>
            <w:r w:rsidRPr="00E257D5">
              <w:rPr>
                <w:rFonts w:ascii="Arial" w:eastAsia="DejaVu Sans" w:hAnsi="Arial" w:cs="Lohit Hindi"/>
                <w:sz w:val="20"/>
                <w:szCs w:val="24"/>
                <w:lang w:eastAsia="zh-CN" w:bidi="hi-IN"/>
              </w:rPr>
              <w:t xml:space="preserve"> elért pontszám arányos összege.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67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Hozzájárulás a megyei területfejlesztési program prioritásaihoz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8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3. Prioritások azonosítása fejezet (28. oldaltól).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illeszkedik, és részletesen bemutatja az adott prioritáshoz való illeszkedést.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Prioritás 2 (35. oldal): Versenyképes munkaerő (tudás, képzés, oktatás)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8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2.1.4. TERÜLETI CÉLOK (17. oldaltól).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: A tervezett projekt nem illeszkedik.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illeszkedik. Az illeszkedés bemutatásra kerül.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8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A pályázat konzorciumban történő megvalósítása.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önállóan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konzorciumban valósítja meg a pályázatot.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vizsgálata a támogatási kérelemhez benyújtott konzorciumi együttműködési megállapodás alapján történik.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8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iCs/>
                <w:sz w:val="20"/>
                <w:szCs w:val="20"/>
                <w:lang w:eastAsia="zh-CN" w:bidi="hi-IN"/>
              </w:rPr>
              <w:t>„Az új vagy korszerűsített gyermekgondozási létesítmények osztálytermi kapacitása” c. szakmai adatszolgáltatási mutatóhoz való hozzájárulás.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0/4/6/8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Bölcsődei férőhelyek esetében: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 xml:space="preserve">Mini bölcsőde: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1-5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6-10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10 feletti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 xml:space="preserve">Családi bölcsőde létrehozása: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Létrehoz családi bölcsődét.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u w:val="single"/>
                <w:lang w:eastAsia="zh-CN" w:bidi="hi-IN"/>
              </w:rPr>
              <w:t>Óvoda: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hoz létre új férőhelyet.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1-20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21-30 férőhelyet hoz létre.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30 feletti férőhelyet hoz létre.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a Projekt adatlap Monitoring mutatók funkciójában rögzített vállalás, valamint a megalapozó dokumentumban kifejtett részletezés alapján vizsgálandó.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67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 xml:space="preserve">A településen korábban nem elérhető szolgáltatást biztosító intézmény létesítése.  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létesít új intézményt.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Létesít új intézményt:</w:t>
            </w:r>
          </w:p>
          <w:p w:rsidR="00E257D5" w:rsidRPr="00E257D5" w:rsidRDefault="00E257D5" w:rsidP="00E257D5">
            <w:pPr>
              <w:widowControl w:val="0"/>
              <w:numPr>
                <w:ilvl w:val="0"/>
                <w:numId w:val="19"/>
              </w:numPr>
              <w:suppressAutoHyphens/>
              <w:spacing w:before="20" w:after="20" w:line="240" w:lineRule="auto"/>
              <w:ind w:left="636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új bölcsődei ellátás (bölcsőde/mini bölcsőde/családi bölcsőde)</w:t>
            </w:r>
          </w:p>
          <w:p w:rsidR="00E257D5" w:rsidRPr="00E257D5" w:rsidRDefault="00E257D5" w:rsidP="00E257D5">
            <w:pPr>
              <w:widowControl w:val="0"/>
              <w:numPr>
                <w:ilvl w:val="0"/>
                <w:numId w:val="19"/>
              </w:numPr>
              <w:suppressAutoHyphens/>
              <w:spacing w:before="20" w:after="20" w:line="240" w:lineRule="auto"/>
              <w:ind w:left="636"/>
              <w:contextualSpacing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új óvodai ellátás (pl.: új telephely létesítése)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érintett intézmény vállalja, hogy a szülők munkaidejéhez rugalmasan alkalmazkodik.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Vállalja, hogy a szülők munkaidejéhez rugalmas </w:t>
            </w:r>
            <w:proofErr w:type="spellStart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nyitvatartással</w:t>
            </w:r>
            <w:proofErr w:type="spellEnd"/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alkalmazkodik az intézmény.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kell bemutatni."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67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Területi egyenlőtlenségek csökkentése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  <w:t>A tervezett projekt a 290/2014. (XI. 26.) Korm. rendelet alapján besorolt kedvezményezett járásba, illetve a Győr-Moson-Sopron Megyei Közgyűlés 8/2016. (II. 26.) számú határozata értelmében regionális szempontból kedvezményezett járásba tartozó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sz w:val="20"/>
                <w:szCs w:val="20"/>
                <w:lang w:eastAsia="zh-CN" w:bidi="hi-IN"/>
              </w:rPr>
            </w:pP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0/1/2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nem kedvezményezett járásban található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a megye által besorolt regionális szempontból kedvezményezett járáshoz tartozó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 xml:space="preserve"> A tervezett projekt a 290/2014. (XI. 26.) Korm. rendelet alapján meghatározott kedvezményezett járásban található településen valósul meg.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tervezett projekt 105/2015. (IV. 23.) Korm. rendelet alapján besorolt kedvezményezett településen valósul meg.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adatlapon szükséges rögzíteni a megvalósítással érintett településeket és jogszabály szerinti besorolásuk bemutatását.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feltétel teljesülésének vizsgálata a 105/2015. (IV. 23.) Korm. rendelet 2. sz. melléklete alapján történik: </w:t>
            </w:r>
            <w:hyperlink r:id="rId14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http://njt.hu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nem kedvezményezett településen valósul meg.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kormányrendeletben meghatározott kedvezményezett településen valósul meg.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szolgáltatást igénybevevő települések összesített lakónépesség száma.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2/4/6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2000 fő alatti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2000-5000 fő között alakul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5000 fő feletti a lakónépesség száma.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Adatok forrásának a támogatási kérelem benyújtásakor legfrissebb KSH helyiségnévtár (</w:t>
            </w:r>
            <w:hyperlink r:id="rId15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https://www.ksh.hu/apps/hntr.main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adatokat szükséges tekinteni.</w:t>
            </w:r>
          </w:p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Amennyiben több települést érint a fejlesztés, a legnagyobb lakónépességű település pontszáma adható meg. A lakónépesség településenként nem kumulálandó.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>A fejlesztés által érintett intézmény ellátási körzete (bölcsőde, óvoda), valamint családi bölcsőde.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nyújt más település számára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Más településen élő gyerekeknek is nyújt szolgáltatást.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Az érintett korosztály (0-6 év </w:t>
            </w:r>
            <w:r w:rsidRPr="00E257D5">
              <w:rPr>
                <w:rFonts w:ascii="Arial" w:eastAsia="DejaVu Sans" w:hAnsi="Arial" w:cs="Arial"/>
                <w:bCs/>
                <w:iCs/>
                <w:color w:val="000000" w:themeColor="text1"/>
                <w:sz w:val="20"/>
                <w:szCs w:val="20"/>
                <w:lang w:eastAsia="zh-CN" w:bidi="hi-IN"/>
              </w:rPr>
              <w:lastRenderedPageBreak/>
              <w:t>közöttiek) számának alakulása az elmúlt 5 évben.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lastRenderedPageBreak/>
              <w:t>0/1/4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Csökken.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1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Az elmúlt 5 évben nem változott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Növekszik.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 KSH (</w:t>
            </w:r>
            <w:hyperlink r:id="rId16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elmúlt 5 év adatait és azok tendenciáit a támogatási kérelem benyújtását megelőző 5 évre vonatkozóan szükséges bemutatni.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67" w:type="pct"/>
            <w:gridSpan w:val="3"/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Társadalmi kohézió erősítése</w:t>
            </w:r>
          </w:p>
        </w:tc>
      </w:tr>
      <w:tr w:rsidR="00E257D5" w:rsidRPr="00E257D5" w:rsidTr="00796EBF">
        <w:trPr>
          <w:trHeight w:val="271"/>
        </w:trPr>
        <w:tc>
          <w:tcPr>
            <w:tcW w:w="433" w:type="pct"/>
            <w:vAlign w:val="center"/>
          </w:tcPr>
          <w:p w:rsidR="00E257D5" w:rsidRPr="00E257D5" w:rsidRDefault="00E257D5" w:rsidP="00E257D5">
            <w:pPr>
              <w:widowControl w:val="0"/>
              <w:numPr>
                <w:ilvl w:val="1"/>
                <w:numId w:val="17"/>
              </w:numPr>
              <w:suppressAutoHyphens/>
              <w:spacing w:after="0" w:line="240" w:lineRule="auto"/>
              <w:ind w:left="792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</w:pPr>
            <w:r w:rsidRPr="00E257D5">
              <w:rPr>
                <w:rFonts w:ascii="Arial" w:eastAsia="Times New Roman" w:hAnsi="Arial" w:cs="Arial"/>
                <w:sz w:val="20"/>
                <w:szCs w:val="20"/>
                <w:lang w:eastAsia="hu-HU" w:bidi="hi-IN"/>
              </w:rPr>
              <w:t>Az adott korosztályon belül (0-6 éves népességen belül) mekkora a hátrányos helyzetű (HH), és a halmozottan hátrányos helyzetű (HHH) gyerekek aránya a fejlesztéssel érintett településen.</w:t>
            </w:r>
          </w:p>
        </w:tc>
        <w:tc>
          <w:tcPr>
            <w:tcW w:w="641" w:type="pct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0-3</w:t>
            </w:r>
          </w:p>
        </w:tc>
        <w:tc>
          <w:tcPr>
            <w:tcW w:w="2711" w:type="pct"/>
          </w:tcPr>
          <w:p w:rsidR="00E257D5" w:rsidRPr="00E257D5" w:rsidRDefault="00E257D5" w:rsidP="00E257D5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HH és HHH gyermekek aránya egybeszámítandó.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 pont: 5,0% alatt.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1 pont: 5,0-10,0%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2 pont: 10,1-20,0% 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3 pont: 20,0% felett.</w:t>
            </w:r>
          </w:p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 KSH (</w:t>
            </w:r>
            <w:hyperlink r:id="rId17" w:history="1">
              <w:r w:rsidRPr="00E257D5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www.ksh.hu</w:t>
              </w:r>
            </w:hyperlink>
            <w:r w:rsidRPr="00E257D5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forrás alapján.</w:t>
            </w:r>
          </w:p>
        </w:tc>
      </w:tr>
      <w:tr w:rsidR="00E257D5" w:rsidRPr="00E257D5" w:rsidTr="00796EBF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33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14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E257D5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Összesen:</w:t>
            </w:r>
          </w:p>
        </w:tc>
        <w:tc>
          <w:tcPr>
            <w:tcW w:w="64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57D5">
              <w:rPr>
                <w:rFonts w:ascii="Arial" w:eastAsia="Calibri" w:hAnsi="Arial" w:cs="Arial"/>
                <w:b/>
                <w:sz w:val="20"/>
                <w:szCs w:val="20"/>
              </w:rPr>
              <w:t>71</w:t>
            </w:r>
          </w:p>
        </w:tc>
        <w:tc>
          <w:tcPr>
            <w:tcW w:w="271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257D5" w:rsidRPr="00E257D5" w:rsidRDefault="00E257D5" w:rsidP="00E257D5">
            <w:pPr>
              <w:widowControl w:val="0"/>
              <w:suppressAutoHyphens/>
              <w:spacing w:after="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</w:tr>
    </w:tbl>
    <w:p w:rsidR="00E257D5" w:rsidRPr="00B32F22" w:rsidRDefault="00E257D5" w:rsidP="00B32F22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28"/>
          <w:szCs w:val="28"/>
          <w:lang w:eastAsia="zh-CN" w:bidi="hi-IN"/>
        </w:rPr>
      </w:pPr>
    </w:p>
    <w:sectPr w:rsidR="00E257D5" w:rsidRPr="00B32F22" w:rsidSect="00B32F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EF2" w:rsidRDefault="00040EF2" w:rsidP="00B32F22">
      <w:pPr>
        <w:spacing w:after="0" w:line="240" w:lineRule="auto"/>
      </w:pPr>
      <w:r>
        <w:separator/>
      </w:r>
    </w:p>
  </w:endnote>
  <w:endnote w:type="continuationSeparator" w:id="0">
    <w:p w:rsidR="00040EF2" w:rsidRDefault="00040EF2" w:rsidP="00B32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EF2" w:rsidRDefault="00040EF2" w:rsidP="00B32F22">
      <w:pPr>
        <w:spacing w:after="0" w:line="240" w:lineRule="auto"/>
      </w:pPr>
      <w:r>
        <w:separator/>
      </w:r>
    </w:p>
  </w:footnote>
  <w:footnote w:type="continuationSeparator" w:id="0">
    <w:p w:rsidR="00040EF2" w:rsidRDefault="00040EF2" w:rsidP="00B32F22">
      <w:pPr>
        <w:spacing w:after="0" w:line="240" w:lineRule="auto"/>
      </w:pPr>
      <w:r>
        <w:continuationSeparator/>
      </w:r>
    </w:p>
  </w:footnote>
  <w:footnote w:id="1">
    <w:p w:rsidR="00B32F22" w:rsidRPr="005B137D" w:rsidRDefault="00B32F22" w:rsidP="00B32F22">
      <w:pPr>
        <w:pStyle w:val="Lbjegyzetszveg"/>
        <w:jc w:val="both"/>
        <w:rPr>
          <w:rFonts w:cs="Arial"/>
          <w:sz w:val="16"/>
          <w:szCs w:val="16"/>
        </w:rPr>
      </w:pPr>
      <w:r w:rsidRPr="005B137D">
        <w:rPr>
          <w:rStyle w:val="Lbjegyzet-hivatkozs"/>
          <w:rFonts w:cs="Arial"/>
          <w:sz w:val="16"/>
          <w:szCs w:val="16"/>
        </w:rPr>
        <w:footnoteRef/>
      </w:r>
      <w:r w:rsidRPr="005B137D">
        <w:rPr>
          <w:rFonts w:cs="Arial"/>
          <w:sz w:val="16"/>
          <w:szCs w:val="16"/>
        </w:rPr>
        <w:t xml:space="preserve"> A támogatási kérelem benyújtásakor a Belügyminisztérium rendelkezésre álló legfrissebb állandó lakosságszám nyilvántartási adatai alapján: </w:t>
      </w:r>
      <w:hyperlink r:id="rId1" w:history="1">
        <w:r w:rsidRPr="005B137D">
          <w:rPr>
            <w:rStyle w:val="Hiperhivatkozs"/>
            <w:rFonts w:cs="Arial"/>
            <w:sz w:val="16"/>
            <w:szCs w:val="16"/>
          </w:rPr>
          <w:t>https://nyilvantarto.hu/hu/statisztikak?stat=kozerdeku</w:t>
        </w:r>
      </w:hyperlink>
      <w:r w:rsidRPr="005B137D">
        <w:rPr>
          <w:rFonts w:cs="Arial"/>
          <w:sz w:val="16"/>
          <w:szCs w:val="16"/>
        </w:rPr>
        <w:t xml:space="preserve"> </w:t>
      </w:r>
    </w:p>
  </w:footnote>
  <w:footnote w:id="2">
    <w:p w:rsidR="00B32F22" w:rsidRPr="00620223" w:rsidRDefault="00B32F22" w:rsidP="00B32F22">
      <w:pPr>
        <w:pStyle w:val="Lbjegyzetszveg"/>
        <w:rPr>
          <w:rFonts w:cs="Arial"/>
          <w:sz w:val="16"/>
          <w:szCs w:val="16"/>
        </w:rPr>
      </w:pPr>
      <w:r w:rsidRPr="00620223">
        <w:rPr>
          <w:rStyle w:val="Lbjegyzet-hivatkozs"/>
          <w:rFonts w:cs="Arial"/>
          <w:sz w:val="16"/>
          <w:szCs w:val="16"/>
        </w:rPr>
        <w:footnoteRef/>
      </w:r>
      <w:r w:rsidRPr="00620223">
        <w:rPr>
          <w:rFonts w:cs="Arial"/>
          <w:sz w:val="16"/>
          <w:szCs w:val="16"/>
        </w:rPr>
        <w:t xml:space="preserve"> Amennyiben a tulajdoni hányada eléri az 51%-ot.</w:t>
      </w:r>
    </w:p>
  </w:footnote>
  <w:footnote w:id="3">
    <w:p w:rsidR="00B32F22" w:rsidRDefault="00B32F22" w:rsidP="00B32F2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 xml:space="preserve">Az </w:t>
      </w:r>
      <w:r w:rsidRPr="007152C1">
        <w:rPr>
          <w:sz w:val="16"/>
          <w:szCs w:val="16"/>
        </w:rPr>
        <w:t>1</w:t>
      </w:r>
      <w:r w:rsidRPr="007152C1">
        <w:rPr>
          <w:rFonts w:cs="Arial"/>
          <w:sz w:val="16"/>
          <w:szCs w:val="16"/>
        </w:rPr>
        <w:t>652/2021. (IX. 21.) számú kormányhatározat a Terület- és Településfejlesztési Operatív Program Plusz éves fejlesztési keretének megállapításáról 2023.05.16-tól hatályos állapota szerint</w:t>
      </w:r>
      <w:r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D3360"/>
    <w:multiLevelType w:val="multilevel"/>
    <w:tmpl w:val="2A6E0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F601C0"/>
    <w:multiLevelType w:val="hybridMultilevel"/>
    <w:tmpl w:val="CD7A379E"/>
    <w:lvl w:ilvl="0" w:tplc="9BC67B3E">
      <w:start w:val="1"/>
      <w:numFmt w:val="lowerLetter"/>
      <w:lvlText w:val="%1)"/>
      <w:lvlJc w:val="left"/>
      <w:pPr>
        <w:ind w:left="1222" w:hanging="360"/>
      </w:pPr>
    </w:lvl>
    <w:lvl w:ilvl="1" w:tplc="040E0019" w:tentative="1">
      <w:start w:val="1"/>
      <w:numFmt w:val="lowerLetter"/>
      <w:lvlText w:val="%2."/>
      <w:lvlJc w:val="left"/>
      <w:pPr>
        <w:ind w:left="1942" w:hanging="360"/>
      </w:pPr>
    </w:lvl>
    <w:lvl w:ilvl="2" w:tplc="040E001B" w:tentative="1">
      <w:start w:val="1"/>
      <w:numFmt w:val="lowerRoman"/>
      <w:lvlText w:val="%3."/>
      <w:lvlJc w:val="right"/>
      <w:pPr>
        <w:ind w:left="2662" w:hanging="180"/>
      </w:pPr>
    </w:lvl>
    <w:lvl w:ilvl="3" w:tplc="040E000F" w:tentative="1">
      <w:start w:val="1"/>
      <w:numFmt w:val="decimal"/>
      <w:lvlText w:val="%4."/>
      <w:lvlJc w:val="left"/>
      <w:pPr>
        <w:ind w:left="3382" w:hanging="360"/>
      </w:pPr>
    </w:lvl>
    <w:lvl w:ilvl="4" w:tplc="040E0019" w:tentative="1">
      <w:start w:val="1"/>
      <w:numFmt w:val="lowerLetter"/>
      <w:lvlText w:val="%5."/>
      <w:lvlJc w:val="left"/>
      <w:pPr>
        <w:ind w:left="4102" w:hanging="360"/>
      </w:pPr>
    </w:lvl>
    <w:lvl w:ilvl="5" w:tplc="040E001B" w:tentative="1">
      <w:start w:val="1"/>
      <w:numFmt w:val="lowerRoman"/>
      <w:lvlText w:val="%6."/>
      <w:lvlJc w:val="right"/>
      <w:pPr>
        <w:ind w:left="4822" w:hanging="180"/>
      </w:pPr>
    </w:lvl>
    <w:lvl w:ilvl="6" w:tplc="040E000F" w:tentative="1">
      <w:start w:val="1"/>
      <w:numFmt w:val="decimal"/>
      <w:lvlText w:val="%7."/>
      <w:lvlJc w:val="left"/>
      <w:pPr>
        <w:ind w:left="5542" w:hanging="360"/>
      </w:pPr>
    </w:lvl>
    <w:lvl w:ilvl="7" w:tplc="040E0019" w:tentative="1">
      <w:start w:val="1"/>
      <w:numFmt w:val="lowerLetter"/>
      <w:lvlText w:val="%8."/>
      <w:lvlJc w:val="left"/>
      <w:pPr>
        <w:ind w:left="6262" w:hanging="360"/>
      </w:pPr>
    </w:lvl>
    <w:lvl w:ilvl="8" w:tplc="040E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31368A5"/>
    <w:multiLevelType w:val="multilevel"/>
    <w:tmpl w:val="A0625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8C5DA6"/>
    <w:multiLevelType w:val="hybridMultilevel"/>
    <w:tmpl w:val="C56C76F2"/>
    <w:lvl w:ilvl="0" w:tplc="896EA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4B4"/>
    <w:multiLevelType w:val="hybridMultilevel"/>
    <w:tmpl w:val="2E8AEBA0"/>
    <w:lvl w:ilvl="0" w:tplc="6BCC0028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90573"/>
    <w:multiLevelType w:val="hybridMultilevel"/>
    <w:tmpl w:val="8B582CFE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76BA1"/>
    <w:multiLevelType w:val="multilevel"/>
    <w:tmpl w:val="39B09F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1448EB"/>
    <w:multiLevelType w:val="hybridMultilevel"/>
    <w:tmpl w:val="77BABACE"/>
    <w:lvl w:ilvl="0" w:tplc="C90A3C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B5B1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92E2E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956801"/>
    <w:multiLevelType w:val="multilevel"/>
    <w:tmpl w:val="EFD6A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D01C50"/>
    <w:multiLevelType w:val="hybridMultilevel"/>
    <w:tmpl w:val="D0549B10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541F7"/>
    <w:multiLevelType w:val="hybridMultilevel"/>
    <w:tmpl w:val="A3F80144"/>
    <w:lvl w:ilvl="0" w:tplc="9664157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C5B84"/>
    <w:multiLevelType w:val="hybridMultilevel"/>
    <w:tmpl w:val="DC321090"/>
    <w:lvl w:ilvl="0" w:tplc="9D8229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86F80"/>
    <w:multiLevelType w:val="hybridMultilevel"/>
    <w:tmpl w:val="A4C0C5A8"/>
    <w:lvl w:ilvl="0" w:tplc="DAEC1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3BC"/>
    <w:multiLevelType w:val="hybridMultilevel"/>
    <w:tmpl w:val="A7EEDF64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23042"/>
    <w:multiLevelType w:val="multilevel"/>
    <w:tmpl w:val="7AA0D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5510A8"/>
    <w:multiLevelType w:val="hybridMultilevel"/>
    <w:tmpl w:val="6E82FF1C"/>
    <w:lvl w:ilvl="0" w:tplc="D9C63096">
      <w:start w:val="5"/>
      <w:numFmt w:val="bullet"/>
      <w:lvlText w:val="-"/>
      <w:lvlJc w:val="left"/>
      <w:pPr>
        <w:ind w:left="795" w:hanging="435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A55D3"/>
    <w:multiLevelType w:val="multilevel"/>
    <w:tmpl w:val="B8263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CC186B"/>
    <w:multiLevelType w:val="hybridMultilevel"/>
    <w:tmpl w:val="DDB63318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5"/>
  </w:num>
  <w:num w:numId="5">
    <w:abstractNumId w:val="20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5"/>
  </w:num>
  <w:num w:numId="11">
    <w:abstractNumId w:val="16"/>
  </w:num>
  <w:num w:numId="12">
    <w:abstractNumId w:val="7"/>
  </w:num>
  <w:num w:numId="13">
    <w:abstractNumId w:val="17"/>
  </w:num>
  <w:num w:numId="14">
    <w:abstractNumId w:val="2"/>
  </w:num>
  <w:num w:numId="15">
    <w:abstractNumId w:val="11"/>
  </w:num>
  <w:num w:numId="16">
    <w:abstractNumId w:val="8"/>
  </w:num>
  <w:num w:numId="17">
    <w:abstractNumId w:val="6"/>
  </w:num>
  <w:num w:numId="18">
    <w:abstractNumId w:val="10"/>
  </w:num>
  <w:num w:numId="19">
    <w:abstractNumId w:val="18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F6"/>
    <w:rsid w:val="00040EF2"/>
    <w:rsid w:val="0011723A"/>
    <w:rsid w:val="006C0CF6"/>
    <w:rsid w:val="00B32F22"/>
    <w:rsid w:val="00D72CAF"/>
    <w:rsid w:val="00DD3DE7"/>
    <w:rsid w:val="00E2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4875A-A18E-4CC3-9E2F-8ADE0DE9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32F2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2F22"/>
    <w:rPr>
      <w:sz w:val="20"/>
      <w:szCs w:val="20"/>
    </w:rPr>
  </w:style>
  <w:style w:type="table" w:customStyle="1" w:styleId="Rcsostblzat1">
    <w:name w:val="Rácsos táblázat1"/>
    <w:basedOn w:val="Normltblzat"/>
    <w:qFormat/>
    <w:rsid w:val="00B32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link w:val="denotaalpi"/>
    <w:uiPriority w:val="99"/>
    <w:rsid w:val="00B32F22"/>
    <w:rPr>
      <w:rFonts w:cs="Times New Roman"/>
      <w:vertAlign w:val="superscript"/>
    </w:rPr>
  </w:style>
  <w:style w:type="character" w:styleId="Hiperhivatkozs">
    <w:name w:val="Hyperlink"/>
    <w:uiPriority w:val="99"/>
    <w:rsid w:val="00B32F22"/>
    <w:rPr>
      <w:rFonts w:cs="Times New Roman"/>
      <w:color w:val="0000FF"/>
      <w:u w:val="single"/>
    </w:rPr>
  </w:style>
  <w:style w:type="paragraph" w:customStyle="1" w:styleId="denotaalpi">
    <w:name w:val="de nota al pi..."/>
    <w:aliases w:val="Footnote symbol Char,Footnote Reference1 Car Char,Char Char,Carattere Carattere Char,SUPERS Carattere Carattere,Nota,Char,fr"/>
    <w:basedOn w:val="Norml"/>
    <w:link w:val="Lbjegyzet-hivatkozs"/>
    <w:uiPriority w:val="99"/>
    <w:rsid w:val="00B32F22"/>
    <w:pPr>
      <w:spacing w:before="120" w:after="120" w:line="240" w:lineRule="exact"/>
      <w:jc w:val="both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h.hu/apps/hntr.main" TargetMode="External"/><Relationship Id="rId13" Type="http://schemas.openxmlformats.org/officeDocument/2006/relationships/hyperlink" Target="http://www.ksh.h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jt.hu" TargetMode="External"/><Relationship Id="rId12" Type="http://schemas.openxmlformats.org/officeDocument/2006/relationships/hyperlink" Target="http://www.ksh.hu" TargetMode="External"/><Relationship Id="rId17" Type="http://schemas.openxmlformats.org/officeDocument/2006/relationships/hyperlink" Target="http://www.ksh.h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sh.h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h.hu/apps/hntr.m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sh.hu/apps/hntr.main" TargetMode="External"/><Relationship Id="rId10" Type="http://schemas.openxmlformats.org/officeDocument/2006/relationships/hyperlink" Target="http://www.ksh.h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sh.hu" TargetMode="External"/><Relationship Id="rId14" Type="http://schemas.openxmlformats.org/officeDocument/2006/relationships/hyperlink" Target="http://njt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yilvantarto.hu/hu/statisztikak?stat=kozerdek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5439</Words>
  <Characters>37536</Characters>
  <Application>Microsoft Office Word</Application>
  <DocSecurity>0</DocSecurity>
  <Lines>312</Lines>
  <Paragraphs>85</Paragraphs>
  <ScaleCrop>false</ScaleCrop>
  <Company>Egységes InfraStruktúra</Company>
  <LinksUpToDate>false</LinksUpToDate>
  <CharactersWithSpaces>42890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5</cp:revision>
  <dcterms:created xsi:type="dcterms:W3CDTF">2024-01-26T13:02:00Z</dcterms:created>
  <dcterms:modified xsi:type="dcterms:W3CDTF">2024-01-30T10:35:00Z</dcterms:modified>
</cp:coreProperties>
</file>