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99F" w:rsidRPr="008A099F" w:rsidRDefault="008A099F" w:rsidP="008A099F">
      <w:pPr>
        <w:spacing w:after="0" w:line="240" w:lineRule="auto"/>
        <w:jc w:val="center"/>
        <w:rPr>
          <w:rFonts w:cs="Arial"/>
          <w:b/>
          <w:bCs/>
          <w:sz w:val="24"/>
          <w:szCs w:val="24"/>
          <w:u w:val="single"/>
        </w:rPr>
      </w:pPr>
      <w:bookmarkStart w:id="0" w:name="_Toc152055727"/>
      <w:r w:rsidRPr="008A099F">
        <w:rPr>
          <w:rFonts w:cs="Arial"/>
          <w:b/>
          <w:bCs/>
          <w:sz w:val="24"/>
          <w:szCs w:val="24"/>
          <w:u w:val="single"/>
        </w:rPr>
        <w:t xml:space="preserve">II. </w:t>
      </w:r>
      <w:proofErr w:type="spellStart"/>
      <w:r w:rsidRPr="008A099F">
        <w:rPr>
          <w:rFonts w:cs="Arial"/>
          <w:b/>
          <w:bCs/>
          <w:sz w:val="24"/>
          <w:szCs w:val="24"/>
          <w:u w:val="single"/>
        </w:rPr>
        <w:t>Felhívásspecifikus</w:t>
      </w:r>
      <w:proofErr w:type="spellEnd"/>
      <w:r w:rsidRPr="008A099F">
        <w:rPr>
          <w:rFonts w:cs="Arial"/>
          <w:b/>
          <w:bCs/>
          <w:sz w:val="24"/>
          <w:szCs w:val="24"/>
          <w:u w:val="single"/>
        </w:rPr>
        <w:t xml:space="preserve"> kiválasztási kritériumok</w:t>
      </w:r>
    </w:p>
    <w:p w:rsidR="008A099F" w:rsidRPr="008A099F" w:rsidRDefault="008A099F" w:rsidP="008A099F">
      <w:pPr>
        <w:keepNext/>
        <w:spacing w:before="240" w:line="240" w:lineRule="auto"/>
        <w:jc w:val="both"/>
        <w:rPr>
          <w:rFonts w:cs="Arial"/>
        </w:rPr>
      </w:pPr>
      <w:r w:rsidRPr="008A099F">
        <w:rPr>
          <w:rFonts w:cs="Arial"/>
        </w:rPr>
        <w:t xml:space="preserve">Kizárólag az általános kiválasztási kritériumokat kiegészítő, </w:t>
      </w:r>
      <w:proofErr w:type="spellStart"/>
      <w:r w:rsidRPr="008A099F">
        <w:rPr>
          <w:rFonts w:cs="Arial"/>
        </w:rPr>
        <w:t>felhívásspecifikus</w:t>
      </w:r>
      <w:proofErr w:type="spellEnd"/>
      <w:r w:rsidRPr="008A099F">
        <w:rPr>
          <w:rFonts w:cs="Arial"/>
        </w:rPr>
        <w:t xml:space="preserve"> kiválasztási kritériumok kerülnek felsorolásra.</w:t>
      </w:r>
    </w:p>
    <w:p w:rsidR="00CA6288" w:rsidRPr="00CA6288" w:rsidRDefault="00CA6288" w:rsidP="00CA6288">
      <w:pPr>
        <w:keepNext/>
        <w:keepLines/>
        <w:spacing w:before="240" w:after="0" w:line="276" w:lineRule="auto"/>
        <w:jc w:val="center"/>
        <w:outlineLvl w:val="0"/>
        <w:rPr>
          <w:rFonts w:asciiTheme="majorHAnsi" w:eastAsiaTheme="majorEastAsia" w:hAnsiTheme="majorHAnsi" w:cs="Arial"/>
          <w:b/>
          <w:color w:val="2E74B5" w:themeColor="accent1" w:themeShade="BF"/>
          <w:sz w:val="24"/>
          <w:szCs w:val="24"/>
        </w:rPr>
      </w:pPr>
      <w:r w:rsidRPr="00CA6288"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  <w:t>TOP_Plusz-3.3.2-21 Helyi egészségügyi és szociális infrastruktúra fejlesztése</w:t>
      </w:r>
      <w:bookmarkEnd w:id="0"/>
    </w:p>
    <w:p w:rsidR="00CA6288" w:rsidRPr="00CA6288" w:rsidRDefault="00CA6288" w:rsidP="00CA6288">
      <w:pPr>
        <w:numPr>
          <w:ilvl w:val="0"/>
          <w:numId w:val="2"/>
        </w:numPr>
        <w:spacing w:before="240" w:after="0" w:line="240" w:lineRule="auto"/>
        <w:ind w:left="56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A6288">
        <w:rPr>
          <w:rFonts w:ascii="Arial" w:eastAsia="Calibri" w:hAnsi="Arial" w:cs="Arial"/>
          <w:b/>
          <w:bCs/>
          <w:sz w:val="20"/>
          <w:szCs w:val="20"/>
        </w:rPr>
        <w:t>Felhívás célja, tartalma azonosítása:</w:t>
      </w:r>
    </w:p>
    <w:p w:rsidR="00CA6288" w:rsidRPr="00CA6288" w:rsidRDefault="00CA6288" w:rsidP="00CA6288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Jelen felhívás keretében a jó minőségű közszolgáltatásokhoz való hozzáférés javítása érdekében egészségügyi alapellátás, </w:t>
      </w:r>
      <w:proofErr w:type="spellStart"/>
      <w:r w:rsidRPr="00CA6288">
        <w:rPr>
          <w:rFonts w:ascii="Arial" w:eastAsia="Times New Roman" w:hAnsi="Arial" w:cs="Arial"/>
          <w:sz w:val="20"/>
          <w:szCs w:val="20"/>
          <w:lang w:eastAsia="hu-HU"/>
        </w:rPr>
        <w:t>járóbeteg</w:t>
      </w:r>
      <w:proofErr w:type="spellEnd"/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 szakellátás, </w:t>
      </w:r>
      <w:proofErr w:type="spellStart"/>
      <w:r w:rsidRPr="00CA6288">
        <w:rPr>
          <w:rFonts w:ascii="Arial" w:eastAsia="Times New Roman" w:hAnsi="Arial" w:cs="Arial"/>
          <w:sz w:val="20"/>
          <w:szCs w:val="20"/>
          <w:lang w:eastAsia="hu-HU"/>
        </w:rPr>
        <w:t>prehospitális</w:t>
      </w:r>
      <w:proofErr w:type="spellEnd"/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 sürgősségi ellátás, valamint szociális alapszolgáltatások és gyermekjóléti alapellátások fejlesztése támogatható.</w:t>
      </w:r>
    </w:p>
    <w:p w:rsidR="00CA6288" w:rsidRPr="00CA6288" w:rsidRDefault="00CA6288" w:rsidP="00CA6288">
      <w:pPr>
        <w:keepNext/>
        <w:numPr>
          <w:ilvl w:val="0"/>
          <w:numId w:val="6"/>
        </w:numPr>
        <w:spacing w:before="120" w:after="0" w:line="240" w:lineRule="auto"/>
        <w:ind w:left="567" w:hanging="357"/>
        <w:jc w:val="both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Egészségügyi alapellátás: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Az egészségügyi alapellátás fejlesztésének fontosságát az adja, hogy ez a szint képes leginkább elvégezni az alapvető szűrővizsgálatokat és egészségügyi állapotfelméréseket, ezáltal kiemelt szerepe van a prevencióban a lakosság közvetlen környezetében (lakóhelyén). A háziorvosi praxisokban történik a legtöbb orvos-beteg találkozás, ami a betegellátás mellett lehetőséget adhat betegségmegelőzésre is.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Az egészségügyi alapellátási rendszer infrastrukturális fejlesztése az intézmények szolgáltatásainak és infrastrukturális feltételeinek korszerűsítését, a hozzáférés egyenlőtlenségeinek mérséklését célozza. Az egészségügyi infrastrukturális fejlesztések a lakosság egészségben eltöltött életéveinek a növekedését, a megelőzést, a korai felismerést, a korai fejlesztést, az egészséges fejlődést, az életminőség javítását és a munkaképesség mielőbbi visszaállítását, valamint az erőforrások koncentrálásával az egészségügyi alapellátással kapcsolatban álló, többi ágazathoz tartozó közszolgáltatásokkal való hatékonyabb együttműködést, a szolgáltatások költséghatékonyságának és minőségének javítását segítik elő.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Az intézkedést az indokolja, hogy az egészségügyi alapellátási rendszer infrastruktúrája területileg egyenetlen, magas a rossz állapotú, fejlesztést igénylő, illetve hiányos vagy elavult eszközökkel rendelkező orvosi rendelők, védőnői tanácsadók, iskola-egészségügyi rendelők száma, amely különösen a hátrányos helyzetű térségeket érinti. </w:t>
      </w:r>
      <w:proofErr w:type="gramStart"/>
      <w:r w:rsidRPr="00CA6288">
        <w:rPr>
          <w:rFonts w:ascii="Arial" w:eastAsia="Times New Roman" w:hAnsi="Arial" w:cs="Arial"/>
          <w:sz w:val="20"/>
          <w:szCs w:val="20"/>
          <w:lang w:eastAsia="hu-HU"/>
        </w:rPr>
        <w:t>Ennek megfelelően lehetőség van az egészségügyi alapellátásoknak helyt adó épületek, épületrészek korszerűsítésére, felújítására, átalakítására, bővítésére, indokolt esetben új létesítésére; ingatlankiváltásra, funkciójukat vesztett épületek hasznosítására, funkcióváltásra; szolgálati lakás</w:t>
      </w:r>
      <w:r w:rsidRPr="00CA6288">
        <w:rPr>
          <w:rFonts w:ascii="Arial" w:eastAsia="Times New Roman" w:hAnsi="Arial" w:cs="Times New Roman"/>
          <w:sz w:val="20"/>
          <w:szCs w:val="20"/>
          <w:vertAlign w:val="superscript"/>
          <w:lang w:eastAsia="hu-HU"/>
        </w:rPr>
        <w:footnoteReference w:id="1"/>
      </w:r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 felújítására, átalakítására, bővítésére, új építésére; egészségfejlesztés infrastrukturális feltételeinek fejlesztésére, , valamint az alapellátási tevékenység végzéséhez szükséges, az ellátás biztosításához elengedhetetlen eszközök beszerzésére, annak érdekében, hogy az egyes településeken, minden lakos számár</w:t>
      </w:r>
      <w:proofErr w:type="gramEnd"/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proofErr w:type="gramStart"/>
      <w:r w:rsidRPr="00CA6288">
        <w:rPr>
          <w:rFonts w:ascii="Arial" w:eastAsia="Times New Roman" w:hAnsi="Arial" w:cs="Arial"/>
          <w:sz w:val="20"/>
          <w:szCs w:val="20"/>
          <w:lang w:eastAsia="hu-HU"/>
        </w:rPr>
        <w:t>hozzáférhetővé</w:t>
      </w:r>
      <w:proofErr w:type="gramEnd"/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 váljanak a megfelelő infrastrukturális ellátottsággal rendelkező egészségügyi alapellátások szolgáltatásai.</w:t>
      </w:r>
    </w:p>
    <w:p w:rsidR="00CA6288" w:rsidRPr="00CA6288" w:rsidRDefault="00CA6288" w:rsidP="00CA6288">
      <w:pPr>
        <w:keepNext/>
        <w:spacing w:before="60" w:after="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bCs/>
          <w:sz w:val="20"/>
          <w:szCs w:val="20"/>
          <w:lang w:eastAsia="hu-HU"/>
        </w:rPr>
        <w:t>Jelen Felhívás keretében az alábbi közfinanszírozott egészségügyi alapellátások fejlesztése támogatható:</w:t>
      </w:r>
    </w:p>
    <w:p w:rsidR="00CA6288" w:rsidRPr="00CA6288" w:rsidRDefault="00CA6288" w:rsidP="00CA6288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háziorvosi, házi gyermekorvosi ellátás (felnőtt, gyermek, vegyes praxis);</w:t>
      </w:r>
    </w:p>
    <w:p w:rsidR="00CA6288" w:rsidRPr="00CA6288" w:rsidRDefault="00CA6288" w:rsidP="00CA6288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fogorvosi alapellátás;</w:t>
      </w:r>
    </w:p>
    <w:p w:rsidR="00CA6288" w:rsidRPr="00CA6288" w:rsidRDefault="00CA6288" w:rsidP="00CA6288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alapellátáshoz kapcsolódó fogorvosi ügyeleti ellátás;</w:t>
      </w:r>
    </w:p>
    <w:p w:rsidR="00CA6288" w:rsidRPr="00CA6288" w:rsidRDefault="00CA6288" w:rsidP="00CA6288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védőnői ellátás;</w:t>
      </w:r>
    </w:p>
    <w:p w:rsidR="00CA6288" w:rsidRPr="00CA6288" w:rsidRDefault="00CA6288" w:rsidP="00CA6288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kizárólag nem iskolai épületekben működő iskola-egészségügyi (iskolaorvosi, iskola-fogorvosi) ellátás, amennyiben a fejlesztendő háziorvosi/házi gyermekorvosi/fogorvosi ellátással azonos épületben működik, vagy fog működni.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lastRenderedPageBreak/>
        <w:t>A felhívás támogatja a praxisközösségi</w:t>
      </w:r>
      <w:r w:rsidRPr="00CA6288">
        <w:rPr>
          <w:rFonts w:ascii="Arial" w:hAnsi="Arial" w:cs="Arial"/>
          <w:color w:val="000000" w:themeColor="text1"/>
          <w:sz w:val="20"/>
          <w:szCs w:val="20"/>
          <w:vertAlign w:val="superscript"/>
        </w:rPr>
        <w:footnoteReference w:id="2"/>
      </w: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 formában való működést, illetve többlet szolgáltatások elérhetővé tételét. 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CA6288">
        <w:rPr>
          <w:rFonts w:ascii="Arial" w:hAnsi="Arial" w:cs="Arial"/>
          <w:sz w:val="20"/>
          <w:szCs w:val="20"/>
        </w:rPr>
        <w:t>Egészségügyi alapellátás esetében az RRF a többletfeladatokhoz, azaz a háziorvosok kibővített hatásköréhez és praxisközösségek működéséhez kapcsolódó eszközbeszerzést, míg a TOP Plusz a háziorvosok alapfeladat elvégzéséhez szükséges eszközbeszerzését támogatja.</w:t>
      </w:r>
    </w:p>
    <w:p w:rsidR="00CA6288" w:rsidRPr="00CA6288" w:rsidRDefault="00CA6288" w:rsidP="00CA6288">
      <w:pPr>
        <w:keepNext/>
        <w:numPr>
          <w:ilvl w:val="0"/>
          <w:numId w:val="6"/>
        </w:numPr>
        <w:spacing w:before="240" w:after="0" w:line="240" w:lineRule="auto"/>
        <w:ind w:left="567" w:hanging="357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hu-HU"/>
        </w:rPr>
      </w:pPr>
      <w:r w:rsidRPr="00CA6288">
        <w:rPr>
          <w:rFonts w:ascii="Arial" w:eastAsia="Calibri" w:hAnsi="Arial" w:cs="Arial"/>
          <w:b/>
          <w:bCs/>
          <w:sz w:val="20"/>
          <w:szCs w:val="20"/>
          <w:lang w:eastAsia="hu-HU"/>
        </w:rPr>
        <w:t xml:space="preserve">Egészségügyi </w:t>
      </w:r>
      <w:proofErr w:type="spellStart"/>
      <w:r w:rsidRPr="00CA6288">
        <w:rPr>
          <w:rFonts w:ascii="Arial" w:eastAsia="Calibri" w:hAnsi="Arial" w:cs="Arial"/>
          <w:b/>
          <w:bCs/>
          <w:sz w:val="20"/>
          <w:szCs w:val="20"/>
          <w:lang w:eastAsia="hu-HU"/>
        </w:rPr>
        <w:t>járóbeteg</w:t>
      </w:r>
      <w:proofErr w:type="spellEnd"/>
      <w:r w:rsidRPr="00CA6288">
        <w:rPr>
          <w:rFonts w:ascii="Arial" w:eastAsia="Calibri" w:hAnsi="Arial" w:cs="Arial"/>
          <w:b/>
          <w:bCs/>
          <w:sz w:val="20"/>
          <w:szCs w:val="20"/>
          <w:lang w:eastAsia="hu-HU"/>
        </w:rPr>
        <w:t xml:space="preserve"> szakellátás: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sz w:val="20"/>
          <w:szCs w:val="20"/>
          <w:lang w:eastAsia="hu-HU"/>
        </w:rPr>
      </w:pPr>
      <w:r w:rsidRPr="00CA6288">
        <w:rPr>
          <w:rFonts w:ascii="Arial" w:hAnsi="Arial" w:cs="Arial"/>
          <w:sz w:val="20"/>
          <w:szCs w:val="20"/>
          <w:lang w:eastAsia="hu-HU"/>
        </w:rPr>
        <w:t>Az általános járóbeteg-szakellátás a beteg folyamatos ellátását, gondozását végző orvos beutalása vagy a beteg jelentkezése alapján, szakorvos által végzett egyszeri, illetve alkalomszerű egészségügyi ellátás, továbbá fekvőbeteg-ellátást nem igénylő krónikus betegség esetén a folyamatos szakorvosi gondozás.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sz w:val="20"/>
          <w:szCs w:val="20"/>
          <w:lang w:eastAsia="hu-HU"/>
        </w:rPr>
      </w:pPr>
      <w:r w:rsidRPr="00CA6288">
        <w:rPr>
          <w:rFonts w:ascii="Arial" w:hAnsi="Arial" w:cs="Arial"/>
          <w:bCs/>
          <w:sz w:val="20"/>
          <w:szCs w:val="20"/>
          <w:lang w:eastAsia="hu-HU"/>
        </w:rPr>
        <w:t xml:space="preserve">Jelen felhívás keretében közfinanszírozott, önálló </w:t>
      </w:r>
      <w:proofErr w:type="spellStart"/>
      <w:r w:rsidRPr="00CA6288">
        <w:rPr>
          <w:rFonts w:ascii="Arial" w:hAnsi="Arial" w:cs="Arial"/>
          <w:bCs/>
          <w:sz w:val="20"/>
          <w:szCs w:val="20"/>
          <w:lang w:eastAsia="hu-HU"/>
        </w:rPr>
        <w:t>járóbeteg</w:t>
      </w:r>
      <w:proofErr w:type="spellEnd"/>
      <w:r w:rsidRPr="00CA6288">
        <w:rPr>
          <w:rFonts w:ascii="Arial" w:hAnsi="Arial" w:cs="Arial"/>
          <w:bCs/>
          <w:sz w:val="20"/>
          <w:szCs w:val="20"/>
          <w:lang w:eastAsia="hu-HU"/>
        </w:rPr>
        <w:t xml:space="preserve"> szakellátás esetében a helyi önkormányzat vagy helyi önkormányzati társulás fenntartásában lévő szakrendelők </w:t>
      </w:r>
      <w:r w:rsidRPr="00CA6288">
        <w:rPr>
          <w:rFonts w:ascii="Arial" w:hAnsi="Arial" w:cs="Arial"/>
          <w:bCs/>
          <w:color w:val="000000" w:themeColor="text1"/>
          <w:sz w:val="20"/>
          <w:szCs w:val="20"/>
        </w:rPr>
        <w:t>infrastruktúra fejlesztése és eszközbeszerzése támogatható</w:t>
      </w: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, annak érdekében, hogy minden lakos számára egyenlő eséllyel hozzáférhető és megfelelő színvonalú </w:t>
      </w:r>
      <w:proofErr w:type="spellStart"/>
      <w:r w:rsidRPr="00CA6288">
        <w:rPr>
          <w:rFonts w:ascii="Arial" w:hAnsi="Arial" w:cs="Arial"/>
          <w:color w:val="000000" w:themeColor="text1"/>
          <w:sz w:val="20"/>
          <w:szCs w:val="20"/>
        </w:rPr>
        <w:t>járóbeteg</w:t>
      </w:r>
      <w:proofErr w:type="spellEnd"/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 szakellátás legyen biztosított.</w:t>
      </w:r>
    </w:p>
    <w:p w:rsidR="00CA6288" w:rsidRPr="00CA6288" w:rsidRDefault="00CA6288" w:rsidP="00CA6288">
      <w:pPr>
        <w:keepNext/>
        <w:numPr>
          <w:ilvl w:val="0"/>
          <w:numId w:val="6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bCs/>
          <w:sz w:val="20"/>
          <w:szCs w:val="20"/>
          <w:lang w:eastAsia="hu-HU"/>
        </w:rPr>
      </w:pPr>
      <w:proofErr w:type="spellStart"/>
      <w:r w:rsidRPr="00CA6288">
        <w:rPr>
          <w:rFonts w:ascii="Arial" w:eastAsia="Calibri" w:hAnsi="Arial" w:cs="Arial"/>
          <w:b/>
          <w:bCs/>
          <w:sz w:val="20"/>
          <w:szCs w:val="20"/>
          <w:lang w:eastAsia="hu-HU"/>
        </w:rPr>
        <w:t>Prehospitális</w:t>
      </w:r>
      <w:proofErr w:type="spellEnd"/>
      <w:r w:rsidRPr="00CA6288">
        <w:rPr>
          <w:rFonts w:ascii="Arial" w:eastAsia="Calibri" w:hAnsi="Arial" w:cs="Arial"/>
          <w:b/>
          <w:bCs/>
          <w:sz w:val="20"/>
          <w:szCs w:val="20"/>
          <w:lang w:eastAsia="hu-HU"/>
        </w:rPr>
        <w:t xml:space="preserve"> sürgősségi ellátás: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A sürgősségi betegellátó rendszer az egészségügyi ellátórendszer azon szervezeti egységeiből áll, amelyeket a beteg heveny tünete, hirtelen fellépő fájdalma, illetve egészségromlása miatt távközlési eszköz útján vagy személyesen </w:t>
      </w:r>
      <w:proofErr w:type="gramStart"/>
      <w:r w:rsidRPr="00CA6288">
        <w:rPr>
          <w:rFonts w:ascii="Arial" w:hAnsi="Arial" w:cs="Arial"/>
          <w:color w:val="000000" w:themeColor="text1"/>
          <w:sz w:val="20"/>
          <w:szCs w:val="20"/>
        </w:rPr>
        <w:t>felkereshet</w:t>
      </w:r>
      <w:proofErr w:type="gramEnd"/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 és elsődleges ellátásban részesül. A sürgősségi betegellátó rendszer fekvőbeteg-ellátáson kívül szervezett formája a mentés is.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A mentés az azonnali egészségügyi ellátásra szoruló betegnek a feltalálási helyén, mentésre feljogosított szervezet által végzett sürgősségi ellátása, illetve az ehhez szükség szerint kapcsolódóan </w:t>
      </w:r>
      <w:r w:rsidRPr="00CA6288">
        <w:rPr>
          <w:rFonts w:ascii="Arial" w:hAnsi="Arial" w:cs="Arial"/>
          <w:iCs/>
          <w:sz w:val="20"/>
          <w:szCs w:val="20"/>
        </w:rPr>
        <w:t xml:space="preserve">– </w:t>
      </w: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az egészségi állapotának megfelelő ellátásra alkalmas </w:t>
      </w:r>
      <w:r w:rsidRPr="00CA6288">
        <w:rPr>
          <w:rFonts w:ascii="Arial" w:hAnsi="Arial" w:cs="Arial"/>
          <w:iCs/>
          <w:sz w:val="20"/>
          <w:szCs w:val="20"/>
        </w:rPr>
        <w:t>–</w:t>
      </w: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 legközelebbi egészségügyi szolgáltatóhoz történő szállítása, valamint a szállítás közben végzett ellátása. A mentés feladatait az ország egész területére kiterjedően az állami mentőszolgálat, valamint </w:t>
      </w:r>
      <w:r w:rsidRPr="00CA6288">
        <w:rPr>
          <w:rFonts w:ascii="Arial" w:hAnsi="Arial" w:cs="Arial"/>
          <w:iCs/>
          <w:sz w:val="20"/>
          <w:szCs w:val="20"/>
        </w:rPr>
        <w:t xml:space="preserve">– </w:t>
      </w: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a működési engedélyben és az állami mentőszolgálattal kötött együttműködési megállapodásban meghatározottak szerint </w:t>
      </w:r>
      <w:r w:rsidRPr="00CA6288">
        <w:rPr>
          <w:rFonts w:ascii="Arial" w:hAnsi="Arial" w:cs="Arial"/>
          <w:iCs/>
          <w:sz w:val="20"/>
          <w:szCs w:val="20"/>
        </w:rPr>
        <w:t xml:space="preserve">– </w:t>
      </w:r>
      <w:r w:rsidRPr="00CA6288">
        <w:rPr>
          <w:rFonts w:ascii="Arial" w:hAnsi="Arial" w:cs="Arial"/>
          <w:color w:val="000000" w:themeColor="text1"/>
          <w:sz w:val="20"/>
          <w:szCs w:val="20"/>
        </w:rPr>
        <w:t>más, mentésre feljogosított szervezetek látják el.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bCs/>
          <w:sz w:val="20"/>
          <w:szCs w:val="20"/>
          <w:lang w:eastAsia="hu-HU"/>
        </w:rPr>
      </w:pPr>
      <w:r w:rsidRPr="00CA6288">
        <w:rPr>
          <w:rFonts w:ascii="Arial" w:hAnsi="Arial" w:cs="Arial"/>
          <w:bCs/>
          <w:sz w:val="20"/>
          <w:szCs w:val="20"/>
          <w:lang w:eastAsia="hu-HU"/>
        </w:rPr>
        <w:t xml:space="preserve">Jelen felhívás keretében a 100%-ban helyi önkormányzati tulajdonban vagy helyi önkormányzati társulás tulajdonában lévő mentőállomások épületeinek infrastruktúra fejlesztése támogatható </w:t>
      </w:r>
      <w:r w:rsidRPr="00CA6288">
        <w:rPr>
          <w:rFonts w:ascii="Arial" w:hAnsi="Arial" w:cs="Arial"/>
          <w:sz w:val="20"/>
          <w:szCs w:val="20"/>
          <w:lang w:eastAsia="hu-HU"/>
        </w:rPr>
        <w:t>a meglévő infrastruktúra körülményeinek javítása érdekében.</w:t>
      </w:r>
    </w:p>
    <w:p w:rsidR="00CA6288" w:rsidRPr="00CA6288" w:rsidRDefault="00CA6288" w:rsidP="00CA6288">
      <w:pPr>
        <w:numPr>
          <w:ilvl w:val="0"/>
          <w:numId w:val="6"/>
        </w:numPr>
        <w:spacing w:before="240" w:after="0" w:line="240" w:lineRule="auto"/>
        <w:ind w:left="567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hu-HU"/>
        </w:rPr>
      </w:pPr>
      <w:r w:rsidRPr="00CA6288">
        <w:rPr>
          <w:rFonts w:ascii="Arial" w:eastAsia="Calibri" w:hAnsi="Arial" w:cs="Arial"/>
          <w:b/>
          <w:bCs/>
          <w:sz w:val="20"/>
          <w:szCs w:val="20"/>
          <w:lang w:eastAsia="hu-HU"/>
        </w:rPr>
        <w:t>Szociális alapszolgáltatások és gyermekjóléti alapellátások: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A szociális alapszolgáltatások infrastruktúrájának fejlesztése feltétele annak, hogy elsősorban a társadalmi leszakadással veszélyeztetett csoportok helyzetének javítására irányuló programok végrehajtásához biztosított legyen a megfelelő intézményi háttér, másrészről a foglalkoztatottsági szint növeléséhez csökkenthetők legyenek a családi terhek és az életminőséget javító, önálló életvitelt támogató új szolgáltatások induljanak. 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>A gyermekjóléti alapellátások fejlesztése hozzájárul a szolgáltatások megerősítéséhez, a magasabb minőségű szolgáltatáshoz való jobb lakossági hozzáféréshez, a gyermekek családjukban történő nevelkedésének biztosításához.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A fejlesztések célja a szociális igazgatásról és szociális ellátásokról szóló 1993. évi III. törvényben (továbbiakban: Szociális törvény), valamint a gyermekek védelméről és a gyámügyi igazgatásról szóló 1997. évi XXXI. törvényben (továbbiakban: Gyermekvédelmi törvény) nevesített szolgáltatásokhoz való hozzáférés javítása, új szolgáltatások infrastruktúrájának megteremtésével, új férőhelyek kialakításával és már működő ellátások infrastrukturális fejlesztésével. 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bCs/>
          <w:color w:val="000000" w:themeColor="text1"/>
          <w:sz w:val="20"/>
          <w:szCs w:val="20"/>
        </w:rPr>
        <w:t>Jelen felhívás keretében az alábbi szociális alapszolgáltatások és gyermekjóléti alapellátások fejlesztése támogatható:</w:t>
      </w:r>
    </w:p>
    <w:p w:rsidR="00CA6288" w:rsidRPr="00CA6288" w:rsidRDefault="00CA6288" w:rsidP="00CA6288">
      <w:pPr>
        <w:numPr>
          <w:ilvl w:val="0"/>
          <w:numId w:val="8"/>
        </w:numPr>
        <w:spacing w:before="60" w:after="0" w:line="240" w:lineRule="auto"/>
        <w:ind w:left="113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 Szociális törvény 57.§ (1) c) - d), f) – j) pontja szerinti szociális alapszolgáltatások: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lastRenderedPageBreak/>
        <w:t>az étkeztetés</w:t>
      </w:r>
      <w:r w:rsidRPr="00CA6288">
        <w:rPr>
          <w:rFonts w:ascii="Arial" w:eastAsia="Calibri" w:hAnsi="Arial" w:cs="Arial"/>
          <w:sz w:val="20"/>
          <w:szCs w:val="20"/>
          <w:vertAlign w:val="superscript"/>
        </w:rPr>
        <w:footnoteReference w:id="3"/>
      </w:r>
      <w:r w:rsidRPr="00CA6288">
        <w:rPr>
          <w:rFonts w:ascii="Arial" w:eastAsia="Calibri" w:hAnsi="Arial" w:cs="Arial"/>
          <w:sz w:val="20"/>
          <w:szCs w:val="20"/>
        </w:rPr>
        <w:t>,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 házi segítségnyújtás,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 jelzőrendszeres házi segítségnyújtás,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 közösségi ellátások,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 támogató szolgáltatás,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az utcai szociális munka,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 nappali ellátás.</w:t>
      </w:r>
    </w:p>
    <w:p w:rsidR="00CA6288" w:rsidRPr="00CA6288" w:rsidRDefault="00CA6288" w:rsidP="00CA6288">
      <w:pPr>
        <w:numPr>
          <w:ilvl w:val="0"/>
          <w:numId w:val="8"/>
        </w:numPr>
        <w:spacing w:before="60" w:after="0" w:line="240" w:lineRule="auto"/>
        <w:ind w:left="1134" w:hanging="357"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 Gyermekvédelmi törvény 15. § (2) bekezdés a) és c) pontjai alapján, a Gyvt. 40. § és 40/A. § pontjában nevesített: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1" w:name="pr795"/>
      <w:bookmarkStart w:id="2" w:name="pr797"/>
      <w:bookmarkEnd w:id="1"/>
      <w:bookmarkEnd w:id="2"/>
      <w:r w:rsidRPr="00CA6288">
        <w:rPr>
          <w:rFonts w:ascii="Arial" w:eastAsia="Calibri" w:hAnsi="Arial" w:cs="Arial"/>
          <w:sz w:val="20"/>
          <w:szCs w:val="20"/>
        </w:rPr>
        <w:t>család- és gyermekjóléti szolgálat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család- és gyermekjóléti központ</w:t>
      </w:r>
    </w:p>
    <w:p w:rsidR="00CA6288" w:rsidRPr="00CA6288" w:rsidRDefault="00CA6288" w:rsidP="00CA6288">
      <w:pPr>
        <w:numPr>
          <w:ilvl w:val="0"/>
          <w:numId w:val="9"/>
        </w:numPr>
        <w:spacing w:after="0" w:line="240" w:lineRule="auto"/>
        <w:ind w:left="1701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továbbá gyermekek átmeneti gondozása keretében az 51. § szerinti családok átmeneti otthona.</w:t>
      </w:r>
    </w:p>
    <w:p w:rsidR="00CA6288" w:rsidRPr="00CA6288" w:rsidRDefault="00CA6288" w:rsidP="00CA6288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A6288">
        <w:rPr>
          <w:rFonts w:ascii="Arial" w:eastAsia="Calibri" w:hAnsi="Arial" w:cs="Arial"/>
          <w:b/>
          <w:sz w:val="20"/>
          <w:szCs w:val="20"/>
        </w:rPr>
        <w:t>Pályázók köre:</w:t>
      </w:r>
    </w:p>
    <w:p w:rsidR="00CA6288" w:rsidRPr="00CA6288" w:rsidRDefault="00CA6288" w:rsidP="00CA6288">
      <w:pPr>
        <w:keepNext/>
        <w:numPr>
          <w:ilvl w:val="1"/>
          <w:numId w:val="10"/>
        </w:numPr>
        <w:spacing w:before="120"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b/>
          <w:sz w:val="20"/>
          <w:szCs w:val="20"/>
          <w:lang w:eastAsia="hu-HU"/>
        </w:rPr>
        <w:t>Egészségügyi alapellátás fejlesztése esetén: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bCs/>
          <w:sz w:val="20"/>
          <w:szCs w:val="20"/>
          <w:lang w:eastAsia="hu-HU"/>
        </w:rPr>
        <w:t>A felhívásra támogatási kérelmet nyújthatnak be:</w:t>
      </w:r>
    </w:p>
    <w:p w:rsidR="00CA6288" w:rsidRPr="00CA6288" w:rsidRDefault="00CA6288" w:rsidP="00CA6288">
      <w:pPr>
        <w:numPr>
          <w:ilvl w:val="0"/>
          <w:numId w:val="11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Központi költségvetési irányító és költségvetési szervek (GFO 311, 312);</w:t>
      </w:r>
    </w:p>
    <w:p w:rsidR="00CA6288" w:rsidRPr="00CA6288" w:rsidRDefault="00CA6288" w:rsidP="00CA6288">
      <w:pPr>
        <w:numPr>
          <w:ilvl w:val="0"/>
          <w:numId w:val="11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iCs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 xml:space="preserve">Helyi önkormányzat </w:t>
      </w:r>
      <w:r w:rsidRPr="00CA6288">
        <w:rPr>
          <w:rFonts w:ascii="Arial" w:eastAsia="Calibri" w:hAnsi="Arial" w:cs="Arial"/>
          <w:iCs/>
          <w:sz w:val="20"/>
          <w:szCs w:val="20"/>
        </w:rPr>
        <w:t xml:space="preserve">(GFO </w:t>
      </w:r>
      <w:r w:rsidRPr="00CA6288">
        <w:rPr>
          <w:rFonts w:ascii="Arial" w:eastAsia="Calibri" w:hAnsi="Arial" w:cs="Arial"/>
          <w:sz w:val="20"/>
          <w:szCs w:val="20"/>
        </w:rPr>
        <w:t>321</w:t>
      </w:r>
      <w:r w:rsidRPr="00CA6288">
        <w:rPr>
          <w:rFonts w:ascii="Arial" w:eastAsia="Calibri" w:hAnsi="Arial" w:cs="Arial"/>
          <w:iCs/>
          <w:sz w:val="20"/>
          <w:szCs w:val="20"/>
        </w:rPr>
        <w:t>);</w:t>
      </w:r>
    </w:p>
    <w:p w:rsidR="00CA6288" w:rsidRPr="00CA6288" w:rsidRDefault="00CA6288" w:rsidP="00CA6288">
      <w:pPr>
        <w:numPr>
          <w:ilvl w:val="0"/>
          <w:numId w:val="11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iCs/>
          <w:sz w:val="20"/>
          <w:szCs w:val="20"/>
        </w:rPr>
      </w:pPr>
      <w:r w:rsidRPr="00CA6288">
        <w:rPr>
          <w:rFonts w:ascii="Arial" w:eastAsia="Calibri" w:hAnsi="Arial" w:cs="Arial"/>
          <w:iCs/>
          <w:sz w:val="20"/>
          <w:szCs w:val="20"/>
        </w:rPr>
        <w:t>Helyi önkormányzatok társulása (GFO 327);</w:t>
      </w:r>
    </w:p>
    <w:p w:rsidR="00CA6288" w:rsidRPr="00CA6288" w:rsidRDefault="00CA6288" w:rsidP="00CA6288">
      <w:pPr>
        <w:numPr>
          <w:ilvl w:val="0"/>
          <w:numId w:val="11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iCs/>
          <w:sz w:val="20"/>
          <w:szCs w:val="20"/>
        </w:rPr>
      </w:pPr>
      <w:r w:rsidRPr="00CA6288">
        <w:rPr>
          <w:rFonts w:ascii="Arial" w:eastAsia="Calibri" w:hAnsi="Arial" w:cs="Arial"/>
          <w:iCs/>
          <w:sz w:val="20"/>
          <w:szCs w:val="20"/>
        </w:rPr>
        <w:t>Helyi önkormányzati költségvetési szerv (GFO 322);</w:t>
      </w:r>
    </w:p>
    <w:p w:rsidR="00CA6288" w:rsidRPr="00CA6288" w:rsidRDefault="00CA6288" w:rsidP="00CA6288">
      <w:pPr>
        <w:numPr>
          <w:ilvl w:val="0"/>
          <w:numId w:val="11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Helyi önkormányzat/helyi önkormányzatok társulása által létrehozott gazdasági társaság, amelyben az önkormányzat/társulás többségi tulajdonrésszel</w:t>
      </w:r>
      <w:r w:rsidRPr="00CA6288">
        <w:rPr>
          <w:rFonts w:ascii="Arial" w:eastAsia="Calibri" w:hAnsi="Arial" w:cs="Arial"/>
          <w:sz w:val="20"/>
          <w:szCs w:val="20"/>
          <w:vertAlign w:val="superscript"/>
        </w:rPr>
        <w:footnoteReference w:id="4"/>
      </w:r>
      <w:r w:rsidRPr="00CA6288">
        <w:rPr>
          <w:rFonts w:ascii="Arial" w:eastAsia="Calibri" w:hAnsi="Arial" w:cs="Arial"/>
          <w:sz w:val="20"/>
          <w:szCs w:val="20"/>
        </w:rPr>
        <w:t xml:space="preserve"> rendelkezik (GFO 11, 572, 573, 575, 576);</w:t>
      </w:r>
    </w:p>
    <w:p w:rsidR="00CA6288" w:rsidRPr="00CA6288" w:rsidRDefault="00CA6288" w:rsidP="00CA6288">
      <w:pPr>
        <w:numPr>
          <w:ilvl w:val="0"/>
          <w:numId w:val="11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color w:val="00000A"/>
          <w:sz w:val="20"/>
          <w:szCs w:val="20"/>
        </w:rPr>
      </w:pPr>
      <w:r w:rsidRPr="00CA6288">
        <w:rPr>
          <w:rFonts w:ascii="Arial" w:eastAsia="Calibri" w:hAnsi="Arial" w:cs="Arial"/>
          <w:color w:val="00000A"/>
          <w:sz w:val="20"/>
          <w:szCs w:val="20"/>
        </w:rPr>
        <w:t>Magyarország területén alapított és itt székhellyel rendelkező, jogi személyiségű civil szervezetek a 2011. évi CLXXV. törvény alapján (GFO 529, 560; 563, 565, 569);</w:t>
      </w:r>
    </w:p>
    <w:p w:rsidR="00CA6288" w:rsidRPr="00CA6288" w:rsidRDefault="00CA6288" w:rsidP="00CA6288">
      <w:pPr>
        <w:numPr>
          <w:ilvl w:val="0"/>
          <w:numId w:val="11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color w:val="00000A"/>
          <w:sz w:val="20"/>
          <w:szCs w:val="20"/>
        </w:rPr>
      </w:pPr>
      <w:r w:rsidRPr="00CA6288">
        <w:rPr>
          <w:rFonts w:ascii="Arial" w:eastAsia="Calibri" w:hAnsi="Arial" w:cs="Arial"/>
          <w:color w:val="00000A"/>
          <w:sz w:val="20"/>
          <w:szCs w:val="20"/>
        </w:rPr>
        <w:t>Közalapítvány (GFO 561);</w:t>
      </w:r>
    </w:p>
    <w:p w:rsidR="00CA6288" w:rsidRPr="00CA6288" w:rsidRDefault="00CA6288" w:rsidP="00CA6288">
      <w:pPr>
        <w:numPr>
          <w:ilvl w:val="0"/>
          <w:numId w:val="11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Egyházi jogi személy (GFO 55);</w:t>
      </w:r>
    </w:p>
    <w:p w:rsidR="00CA6288" w:rsidRPr="00CA6288" w:rsidRDefault="00CA6288" w:rsidP="00CA6288">
      <w:pPr>
        <w:numPr>
          <w:ilvl w:val="0"/>
          <w:numId w:val="11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Egyéb, jogi személyiségű non-profit szervezetek (GFO 591, 599).</w:t>
      </w:r>
    </w:p>
    <w:p w:rsidR="00CA6288" w:rsidRPr="00CA6288" w:rsidRDefault="00CA6288" w:rsidP="00CA6288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>Támogatási kérelmet azon támogatást igénylők nyújthatnak be, amelyek tulajdonában, vagy vagyonkezelésében, állami tulajdon esetén vagyonkezelésében, használatában lévő ingatlanban az egészségügyi alapellátásról szóló 2015. évi CXXIII. törvény 5. § (1) bekezdésének a) – e) pontja szerinti valamely feladatot ellátó, működési engedéllyel és NEAK finanszírozási szerződéssel, területi ellátási kötelezettséggel rendelkező egészségügyi szolgáltató működik, vagy a projekt eredményeképpen működni fog.</w:t>
      </w:r>
    </w:p>
    <w:p w:rsidR="00CA6288" w:rsidRPr="00CA6288" w:rsidRDefault="00CA6288" w:rsidP="00CA6288">
      <w:pPr>
        <w:numPr>
          <w:ilvl w:val="1"/>
          <w:numId w:val="10"/>
        </w:numPr>
        <w:suppressAutoHyphens/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A6288">
        <w:rPr>
          <w:rFonts w:ascii="Arial" w:eastAsia="Calibri" w:hAnsi="Arial" w:cs="Arial"/>
          <w:b/>
          <w:bCs/>
          <w:sz w:val="20"/>
          <w:szCs w:val="20"/>
        </w:rPr>
        <w:t xml:space="preserve">Egészségügyi </w:t>
      </w:r>
      <w:proofErr w:type="spellStart"/>
      <w:r w:rsidRPr="00CA6288">
        <w:rPr>
          <w:rFonts w:ascii="Arial" w:eastAsia="Calibri" w:hAnsi="Arial" w:cs="Arial"/>
          <w:b/>
          <w:bCs/>
          <w:sz w:val="20"/>
          <w:szCs w:val="20"/>
        </w:rPr>
        <w:t>járóbeteg</w:t>
      </w:r>
      <w:proofErr w:type="spellEnd"/>
      <w:r w:rsidRPr="00CA6288">
        <w:rPr>
          <w:rFonts w:ascii="Arial" w:eastAsia="Calibri" w:hAnsi="Arial" w:cs="Arial"/>
          <w:b/>
          <w:bCs/>
          <w:sz w:val="20"/>
          <w:szCs w:val="20"/>
        </w:rPr>
        <w:t xml:space="preserve"> szakellátás esetén: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bCs/>
          <w:sz w:val="20"/>
          <w:szCs w:val="20"/>
          <w:lang w:eastAsia="hu-HU"/>
        </w:rPr>
        <w:t>A felhívásra támogatási kérelmet nyújthatnak be:</w:t>
      </w:r>
    </w:p>
    <w:p w:rsidR="00CA6288" w:rsidRPr="00CA6288" w:rsidRDefault="00CA6288" w:rsidP="00CA6288">
      <w:pPr>
        <w:numPr>
          <w:ilvl w:val="0"/>
          <w:numId w:val="12"/>
        </w:numPr>
        <w:suppressAutoHyphens/>
        <w:spacing w:after="0" w:line="240" w:lineRule="auto"/>
        <w:ind w:left="1134"/>
        <w:contextualSpacing/>
        <w:jc w:val="both"/>
        <w:rPr>
          <w:rFonts w:ascii="Arial" w:eastAsia="Calibri" w:hAnsi="Arial" w:cs="Arial"/>
          <w:iCs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lastRenderedPageBreak/>
        <w:t xml:space="preserve">Helyi önkormányzat </w:t>
      </w:r>
      <w:r w:rsidRPr="00CA6288">
        <w:rPr>
          <w:rFonts w:ascii="Arial" w:eastAsia="Calibri" w:hAnsi="Arial" w:cs="Arial"/>
          <w:iCs/>
          <w:sz w:val="20"/>
          <w:szCs w:val="20"/>
        </w:rPr>
        <w:t xml:space="preserve">(GFO </w:t>
      </w:r>
      <w:r w:rsidRPr="00CA6288">
        <w:rPr>
          <w:rFonts w:ascii="Arial" w:eastAsia="Calibri" w:hAnsi="Arial" w:cs="Arial"/>
          <w:sz w:val="20"/>
          <w:szCs w:val="20"/>
        </w:rPr>
        <w:t>321</w:t>
      </w:r>
      <w:r w:rsidRPr="00CA6288">
        <w:rPr>
          <w:rFonts w:ascii="Arial" w:eastAsia="Calibri" w:hAnsi="Arial" w:cs="Arial"/>
          <w:iCs/>
          <w:sz w:val="20"/>
          <w:szCs w:val="20"/>
        </w:rPr>
        <w:t>);</w:t>
      </w:r>
    </w:p>
    <w:p w:rsidR="00CA6288" w:rsidRPr="00CA6288" w:rsidRDefault="00CA6288" w:rsidP="00CA6288">
      <w:pPr>
        <w:numPr>
          <w:ilvl w:val="0"/>
          <w:numId w:val="12"/>
        </w:numPr>
        <w:suppressAutoHyphens/>
        <w:spacing w:after="0" w:line="240" w:lineRule="auto"/>
        <w:ind w:left="1134"/>
        <w:contextualSpacing/>
        <w:jc w:val="both"/>
        <w:rPr>
          <w:rFonts w:ascii="Arial" w:eastAsia="Calibri" w:hAnsi="Arial" w:cs="Arial"/>
          <w:iCs/>
          <w:sz w:val="20"/>
          <w:szCs w:val="20"/>
        </w:rPr>
      </w:pPr>
      <w:r w:rsidRPr="00CA6288">
        <w:rPr>
          <w:rFonts w:ascii="Arial" w:eastAsia="Calibri" w:hAnsi="Arial" w:cs="Arial"/>
          <w:iCs/>
          <w:sz w:val="20"/>
          <w:szCs w:val="20"/>
        </w:rPr>
        <w:t>Helyi önkormányzatok társulása (GFO 327);</w:t>
      </w:r>
    </w:p>
    <w:p w:rsidR="00CA6288" w:rsidRPr="00CA6288" w:rsidRDefault="00CA6288" w:rsidP="00CA6288">
      <w:pPr>
        <w:numPr>
          <w:ilvl w:val="0"/>
          <w:numId w:val="12"/>
        </w:numPr>
        <w:suppressAutoHyphens/>
        <w:spacing w:after="0" w:line="240" w:lineRule="auto"/>
        <w:ind w:left="1134"/>
        <w:contextualSpacing/>
        <w:jc w:val="both"/>
        <w:rPr>
          <w:rFonts w:ascii="Arial" w:eastAsia="Calibri" w:hAnsi="Arial" w:cs="Arial"/>
          <w:iCs/>
          <w:sz w:val="20"/>
          <w:szCs w:val="20"/>
        </w:rPr>
      </w:pPr>
      <w:r w:rsidRPr="00CA6288">
        <w:rPr>
          <w:rFonts w:ascii="Arial" w:eastAsia="Calibri" w:hAnsi="Arial" w:cs="Arial"/>
          <w:iCs/>
          <w:sz w:val="20"/>
          <w:szCs w:val="20"/>
        </w:rPr>
        <w:t>Helyi önkormányzati költségvetési szerv (GFO 322);</w:t>
      </w:r>
    </w:p>
    <w:p w:rsidR="00CA6288" w:rsidRPr="00CA6288" w:rsidRDefault="00CA6288" w:rsidP="00CA6288">
      <w:pPr>
        <w:numPr>
          <w:ilvl w:val="0"/>
          <w:numId w:val="12"/>
        </w:numPr>
        <w:suppressAutoHyphens/>
        <w:spacing w:after="0" w:line="240" w:lineRule="auto"/>
        <w:ind w:left="1134"/>
        <w:contextualSpacing/>
        <w:jc w:val="both"/>
        <w:rPr>
          <w:rFonts w:ascii="Arial" w:eastAsia="Calibri" w:hAnsi="Arial" w:cs="Arial"/>
          <w:iCs/>
          <w:sz w:val="20"/>
          <w:szCs w:val="20"/>
        </w:rPr>
      </w:pPr>
      <w:r w:rsidRPr="00CA6288">
        <w:rPr>
          <w:rFonts w:ascii="Arial" w:eastAsia="Calibri" w:hAnsi="Arial" w:cs="Arial"/>
          <w:iCs/>
          <w:sz w:val="20"/>
          <w:szCs w:val="20"/>
        </w:rPr>
        <w:t>Helyi önkormányzat/helyi önkormányzatok társulása által létrehozott gazdasági társaság, amelyben az önkormányzat/társulás többségi tulajdonrésszel rendelkezik (GFO 11, 572, 573, 575, 576).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CA6288">
        <w:rPr>
          <w:rFonts w:ascii="Arial" w:hAnsi="Arial" w:cs="Arial"/>
          <w:sz w:val="20"/>
          <w:szCs w:val="20"/>
        </w:rPr>
        <w:t xml:space="preserve">Támogatási kérelmet azon támogatást igénylők nyújthatnak be, amelyek tulajdonában vagy vagyonkezelésében lévő ingatlanban az egészségügyi </w:t>
      </w:r>
      <w:proofErr w:type="spellStart"/>
      <w:r w:rsidRPr="00CA6288">
        <w:rPr>
          <w:rFonts w:ascii="Arial" w:hAnsi="Arial" w:cs="Arial"/>
          <w:sz w:val="20"/>
          <w:szCs w:val="20"/>
        </w:rPr>
        <w:t>járóbeteg</w:t>
      </w:r>
      <w:proofErr w:type="spellEnd"/>
      <w:r w:rsidRPr="00CA6288">
        <w:rPr>
          <w:rFonts w:ascii="Arial" w:hAnsi="Arial" w:cs="Arial"/>
          <w:sz w:val="20"/>
          <w:szCs w:val="20"/>
        </w:rPr>
        <w:t xml:space="preserve"> szakellátási feladatot ellátó, működési engedéllyel és NEAK finanszírozási szerződéssel rendelkező egészségügyi szolgáltató működik.</w:t>
      </w:r>
    </w:p>
    <w:p w:rsidR="00CA6288" w:rsidRPr="00CA6288" w:rsidRDefault="00CA6288" w:rsidP="00CA6288">
      <w:pPr>
        <w:numPr>
          <w:ilvl w:val="0"/>
          <w:numId w:val="13"/>
        </w:numPr>
        <w:spacing w:before="240"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  <w:proofErr w:type="spellStart"/>
      <w:r w:rsidRPr="00CA6288">
        <w:rPr>
          <w:rFonts w:ascii="Arial" w:eastAsia="Times New Roman" w:hAnsi="Arial" w:cs="Arial"/>
          <w:b/>
          <w:sz w:val="20"/>
          <w:szCs w:val="20"/>
          <w:lang w:eastAsia="hu-HU"/>
        </w:rPr>
        <w:t>Prehospitális</w:t>
      </w:r>
      <w:proofErr w:type="spellEnd"/>
      <w:r w:rsidRPr="00CA6288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 sürgősségi ellátások esetén: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bCs/>
          <w:sz w:val="20"/>
          <w:szCs w:val="20"/>
          <w:lang w:eastAsia="hu-HU"/>
        </w:rPr>
        <w:t>A felhívásra támogatási kérelmet nyújthatnak be:</w:t>
      </w:r>
    </w:p>
    <w:p w:rsidR="00CA6288" w:rsidRPr="00CA6288" w:rsidRDefault="00CA6288" w:rsidP="00CA6288">
      <w:pPr>
        <w:numPr>
          <w:ilvl w:val="0"/>
          <w:numId w:val="14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iCs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 xml:space="preserve">Helyi önkormányzat </w:t>
      </w:r>
      <w:r w:rsidRPr="00CA6288">
        <w:rPr>
          <w:rFonts w:ascii="Arial" w:eastAsia="Calibri" w:hAnsi="Arial" w:cs="Arial"/>
          <w:iCs/>
          <w:sz w:val="20"/>
          <w:szCs w:val="20"/>
        </w:rPr>
        <w:t xml:space="preserve">(GFO </w:t>
      </w:r>
      <w:r w:rsidRPr="00CA6288">
        <w:rPr>
          <w:rFonts w:ascii="Arial" w:eastAsia="Calibri" w:hAnsi="Arial" w:cs="Arial"/>
          <w:sz w:val="20"/>
          <w:szCs w:val="20"/>
        </w:rPr>
        <w:t>321</w:t>
      </w:r>
      <w:r w:rsidRPr="00CA6288">
        <w:rPr>
          <w:rFonts w:ascii="Arial" w:eastAsia="Calibri" w:hAnsi="Arial" w:cs="Arial"/>
          <w:iCs/>
          <w:sz w:val="20"/>
          <w:szCs w:val="20"/>
        </w:rPr>
        <w:t>);</w:t>
      </w:r>
    </w:p>
    <w:p w:rsidR="00CA6288" w:rsidRPr="00CA6288" w:rsidRDefault="00CA6288" w:rsidP="00CA6288">
      <w:pPr>
        <w:numPr>
          <w:ilvl w:val="0"/>
          <w:numId w:val="14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iCs/>
          <w:sz w:val="20"/>
          <w:szCs w:val="20"/>
        </w:rPr>
      </w:pPr>
      <w:r w:rsidRPr="00CA6288">
        <w:rPr>
          <w:rFonts w:ascii="Arial" w:eastAsia="Calibri" w:hAnsi="Arial" w:cs="Arial"/>
          <w:iCs/>
          <w:sz w:val="20"/>
          <w:szCs w:val="20"/>
        </w:rPr>
        <w:t>Helyi önkormányzatok társulása (GFO 327).</w:t>
      </w:r>
    </w:p>
    <w:p w:rsidR="00CA6288" w:rsidRPr="00CA6288" w:rsidRDefault="00CA6288" w:rsidP="00CA6288">
      <w:pPr>
        <w:spacing w:before="6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Támogatási kérelmet azon támogatást igénylők nyújthatnak be, amelyek kizárólagos tulajdonában áll az ingatlan, ahol a </w:t>
      </w:r>
      <w:proofErr w:type="spellStart"/>
      <w:r w:rsidRPr="00CA6288">
        <w:rPr>
          <w:rFonts w:ascii="Arial" w:hAnsi="Arial" w:cs="Arial"/>
          <w:color w:val="000000" w:themeColor="text1"/>
          <w:sz w:val="20"/>
          <w:szCs w:val="20"/>
        </w:rPr>
        <w:t>prehospitális</w:t>
      </w:r>
      <w:proofErr w:type="spellEnd"/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 sürgősségi feladatot ellátó, működési engedéllyel rendelkező egészségügyi szolgáltató működik.</w:t>
      </w:r>
    </w:p>
    <w:p w:rsidR="00CA6288" w:rsidRPr="00CA6288" w:rsidRDefault="00CA6288" w:rsidP="00CA6288">
      <w:pPr>
        <w:numPr>
          <w:ilvl w:val="0"/>
          <w:numId w:val="13"/>
        </w:numPr>
        <w:suppressAutoHyphens/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A6288">
        <w:rPr>
          <w:rFonts w:ascii="Arial" w:eastAsia="Calibri" w:hAnsi="Arial" w:cs="Arial"/>
          <w:b/>
          <w:bCs/>
          <w:sz w:val="20"/>
          <w:szCs w:val="20"/>
        </w:rPr>
        <w:t>Szociális alapszolgáltatások és gyermekjóléti alapellátások esetén:</w:t>
      </w:r>
    </w:p>
    <w:p w:rsidR="00CA6288" w:rsidRPr="00CA6288" w:rsidRDefault="00CA6288" w:rsidP="00CA628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A Felhívásra támogatási kérelmet nyújthatnak be, az intézmények </w:t>
      </w:r>
      <w:r w:rsidRPr="00CA6288">
        <w:rPr>
          <w:rFonts w:ascii="Arial" w:eastAsia="Times New Roman" w:hAnsi="Arial" w:cs="Arial"/>
          <w:bCs/>
          <w:sz w:val="20"/>
          <w:szCs w:val="20"/>
          <w:lang w:eastAsia="hu-HU"/>
        </w:rPr>
        <w:t>fenntartói/</w:t>
      </w:r>
      <w:proofErr w:type="spellStart"/>
      <w:r w:rsidRPr="00CA6288">
        <w:rPr>
          <w:rFonts w:ascii="Arial" w:eastAsia="Times New Roman" w:hAnsi="Arial" w:cs="Arial"/>
          <w:bCs/>
          <w:sz w:val="20"/>
          <w:szCs w:val="20"/>
          <w:lang w:eastAsia="hu-HU"/>
        </w:rPr>
        <w:t>fenntartói</w:t>
      </w:r>
      <w:proofErr w:type="spellEnd"/>
      <w:r w:rsidRPr="00CA6288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 jogok gyakorlását ellátó szervezet vagy az épületek tulajdonosai,</w:t>
      </w:r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 amennyiben az alábbi támogatást igénylők körébe tartoznak:</w:t>
      </w:r>
    </w:p>
    <w:p w:rsidR="00CA6288" w:rsidRPr="00CA6288" w:rsidRDefault="00CA6288" w:rsidP="00CA6288">
      <w:pPr>
        <w:numPr>
          <w:ilvl w:val="0"/>
          <w:numId w:val="15"/>
        </w:numPr>
        <w:spacing w:after="0" w:line="240" w:lineRule="auto"/>
        <w:ind w:left="1134"/>
        <w:jc w:val="both"/>
        <w:rPr>
          <w:rFonts w:ascii="Arial" w:eastAsia="Times New Roman" w:hAnsi="Arial" w:cs="Arial"/>
          <w:i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iCs/>
          <w:sz w:val="20"/>
          <w:szCs w:val="20"/>
          <w:lang w:eastAsia="hu-HU"/>
        </w:rPr>
        <w:t>Helyi önkormányzatok és társulásaik (GFO 321; 327);</w:t>
      </w:r>
    </w:p>
    <w:p w:rsidR="00CA6288" w:rsidRPr="00CA6288" w:rsidRDefault="00CA6288" w:rsidP="00CA6288">
      <w:pPr>
        <w:numPr>
          <w:ilvl w:val="0"/>
          <w:numId w:val="15"/>
        </w:numPr>
        <w:spacing w:after="0" w:line="240" w:lineRule="auto"/>
        <w:ind w:left="1134"/>
        <w:jc w:val="both"/>
        <w:rPr>
          <w:rFonts w:ascii="Arial" w:eastAsia="Times New Roman" w:hAnsi="Arial" w:cs="Arial"/>
          <w:i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iCs/>
          <w:sz w:val="20"/>
          <w:szCs w:val="20"/>
          <w:lang w:eastAsia="hu-HU"/>
        </w:rPr>
        <w:t>Helyi önkormányzati költségvetési szerv (GFO 322);</w:t>
      </w:r>
    </w:p>
    <w:p w:rsidR="00CA6288" w:rsidRPr="00CA6288" w:rsidRDefault="00CA6288" w:rsidP="00CA6288">
      <w:pPr>
        <w:numPr>
          <w:ilvl w:val="0"/>
          <w:numId w:val="15"/>
        </w:numPr>
        <w:spacing w:after="0" w:line="240" w:lineRule="auto"/>
        <w:ind w:left="1134"/>
        <w:jc w:val="both"/>
        <w:rPr>
          <w:rFonts w:ascii="Arial" w:eastAsia="Times New Roman" w:hAnsi="Arial" w:cs="Arial"/>
          <w:i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iCs/>
          <w:sz w:val="20"/>
          <w:szCs w:val="20"/>
          <w:lang w:eastAsia="hu-HU"/>
        </w:rPr>
        <w:t xml:space="preserve">Helyi és országos nemzetiségi önkormányzatok és társulásai (GFO 351; 353; 371; 373); </w:t>
      </w:r>
    </w:p>
    <w:p w:rsidR="00CA6288" w:rsidRPr="00CA6288" w:rsidRDefault="00CA6288" w:rsidP="00CA6288">
      <w:pPr>
        <w:numPr>
          <w:ilvl w:val="0"/>
          <w:numId w:val="15"/>
        </w:numPr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Önkormányzat többségi tulajdonában</w:t>
      </w:r>
      <w:r w:rsidRPr="00CA6288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5"/>
      </w:r>
      <w:r w:rsidRPr="00CA6288">
        <w:rPr>
          <w:rFonts w:ascii="Arial" w:eastAsia="Times New Roman" w:hAnsi="Arial" w:cs="Arial"/>
          <w:sz w:val="20"/>
          <w:szCs w:val="20"/>
          <w:lang w:eastAsia="hu-HU"/>
        </w:rPr>
        <w:t xml:space="preserve"> lévő gazdasági társaság (GFO 11);</w:t>
      </w:r>
    </w:p>
    <w:p w:rsidR="00CA6288" w:rsidRPr="00CA6288" w:rsidRDefault="00CA6288" w:rsidP="00CA6288">
      <w:pPr>
        <w:numPr>
          <w:ilvl w:val="0"/>
          <w:numId w:val="15"/>
        </w:numPr>
        <w:spacing w:after="0" w:line="240" w:lineRule="auto"/>
        <w:ind w:left="113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Egyházi jogi személy (GFO 55);</w:t>
      </w:r>
    </w:p>
    <w:p w:rsidR="00CA6288" w:rsidRPr="00CA6288" w:rsidRDefault="00CA6288" w:rsidP="00CA6288">
      <w:pPr>
        <w:numPr>
          <w:ilvl w:val="0"/>
          <w:numId w:val="15"/>
        </w:numPr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Magyarország területén alapított és itt székhellyel rendelkező, jogi személyiségű civil szervezetek a 2011. évi CLXXV. törvény alapján</w:t>
      </w:r>
      <w:r w:rsidRPr="00CA6288">
        <w:rPr>
          <w:rFonts w:ascii="Arial" w:eastAsia="Times New Roman" w:hAnsi="Arial" w:cs="Arial"/>
          <w:iCs/>
          <w:sz w:val="20"/>
          <w:szCs w:val="20"/>
          <w:lang w:eastAsia="hu-HU"/>
        </w:rPr>
        <w:t xml:space="preserve"> (</w:t>
      </w:r>
      <w:r w:rsidRPr="00CA6288">
        <w:rPr>
          <w:rFonts w:ascii="Arial" w:eastAsia="Times New Roman" w:hAnsi="Arial" w:cs="Arial"/>
          <w:sz w:val="20"/>
          <w:szCs w:val="20"/>
          <w:lang w:eastAsia="hu-HU"/>
        </w:rPr>
        <w:t>GFO 529, 560; 563, 565, 569);</w:t>
      </w:r>
    </w:p>
    <w:p w:rsidR="00CA6288" w:rsidRPr="00CA6288" w:rsidRDefault="00CA6288" w:rsidP="00CA6288">
      <w:pPr>
        <w:numPr>
          <w:ilvl w:val="0"/>
          <w:numId w:val="15"/>
        </w:numPr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Közalapítvány (GFO 561);</w:t>
      </w:r>
    </w:p>
    <w:p w:rsidR="00CA6288" w:rsidRPr="00CA6288" w:rsidRDefault="00CA6288" w:rsidP="00CA6288">
      <w:pPr>
        <w:numPr>
          <w:ilvl w:val="0"/>
          <w:numId w:val="15"/>
        </w:numPr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Nonprofit gazdasági társaság, szervezet (GFO 572; 573; 575; 576; 599</w:t>
      </w:r>
      <w:r w:rsidRPr="00CA6288">
        <w:rPr>
          <w:rFonts w:ascii="Arial" w:eastAsia="Times New Roman" w:hAnsi="Arial" w:cs="Arial"/>
          <w:iCs/>
          <w:sz w:val="20"/>
          <w:szCs w:val="20"/>
          <w:lang w:eastAsia="hu-HU"/>
        </w:rPr>
        <w:t xml:space="preserve">). </w:t>
      </w:r>
    </w:p>
    <w:p w:rsidR="00CA6288" w:rsidRPr="00CA6288" w:rsidRDefault="00CA6288" w:rsidP="00CA6288">
      <w:pPr>
        <w:spacing w:before="240" w:after="0" w:line="240" w:lineRule="auto"/>
        <w:ind w:left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bCs/>
          <w:color w:val="000000" w:themeColor="text1"/>
          <w:sz w:val="20"/>
          <w:szCs w:val="20"/>
        </w:rPr>
        <w:t xml:space="preserve">A </w:t>
      </w:r>
      <w:r w:rsidRPr="00CA6288">
        <w:rPr>
          <w:rFonts w:ascii="Arial" w:hAnsi="Arial" w:cs="Arial"/>
          <w:bCs/>
          <w:sz w:val="20"/>
          <w:szCs w:val="20"/>
        </w:rPr>
        <w:t>támogatási kérelem</w:t>
      </w:r>
      <w:r w:rsidRPr="00CA6288">
        <w:rPr>
          <w:rFonts w:ascii="Arial" w:hAnsi="Arial" w:cs="Arial"/>
          <w:bCs/>
          <w:color w:val="000000" w:themeColor="text1"/>
          <w:sz w:val="20"/>
          <w:szCs w:val="20"/>
        </w:rPr>
        <w:t xml:space="preserve"> benyújtására konzorciumi formában is </w:t>
      </w:r>
      <w:r w:rsidRPr="00CA6288">
        <w:rPr>
          <w:rFonts w:ascii="Arial" w:hAnsi="Arial" w:cs="Arial"/>
          <w:bCs/>
          <w:sz w:val="20"/>
          <w:szCs w:val="20"/>
        </w:rPr>
        <w:t>van lehetőség</w:t>
      </w:r>
      <w:r w:rsidRPr="00CA6288">
        <w:rPr>
          <w:rFonts w:ascii="Arial" w:hAnsi="Arial" w:cs="Arial"/>
          <w:bCs/>
          <w:color w:val="000000" w:themeColor="text1"/>
          <w:sz w:val="20"/>
          <w:szCs w:val="20"/>
        </w:rPr>
        <w:t xml:space="preserve">. Az A), B), C, D) főtevékenységhez kapcsolódóan önállóan nem, kizárólag konzorciumi partnerként nyújthatnak be támogatási kérelmet a </w:t>
      </w:r>
      <w:proofErr w:type="spellStart"/>
      <w:r w:rsidRPr="00CA6288">
        <w:rPr>
          <w:rFonts w:ascii="Arial" w:hAnsi="Arial" w:cs="Arial"/>
          <w:color w:val="000000" w:themeColor="text1"/>
          <w:sz w:val="20"/>
          <w:szCs w:val="20"/>
        </w:rPr>
        <w:t>projektelőkészítés</w:t>
      </w:r>
      <w:proofErr w:type="spellEnd"/>
      <w:r w:rsidRPr="00CA6288">
        <w:rPr>
          <w:rFonts w:ascii="Arial" w:hAnsi="Arial" w:cs="Arial"/>
          <w:color w:val="000000" w:themeColor="text1"/>
          <w:sz w:val="20"/>
          <w:szCs w:val="20"/>
        </w:rPr>
        <w:t xml:space="preserve">, projektmenedzsment, közbeszerzés, műszaki ellenőr </w:t>
      </w:r>
      <w:r w:rsidRPr="00CA6288">
        <w:rPr>
          <w:rFonts w:ascii="Arial" w:hAnsi="Arial" w:cs="Arial"/>
          <w:bCs/>
          <w:color w:val="000000" w:themeColor="text1"/>
          <w:sz w:val="20"/>
          <w:szCs w:val="20"/>
        </w:rPr>
        <w:t>és kötelezően előírt nyilvánosság biztosítása tevékenységek megvalósítására az alábbi szervezetek:</w:t>
      </w:r>
    </w:p>
    <w:p w:rsidR="00CA6288" w:rsidRPr="00CA6288" w:rsidRDefault="00CA6288" w:rsidP="00CA6288">
      <w:pPr>
        <w:numPr>
          <w:ilvl w:val="0"/>
          <w:numId w:val="16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Vármegyei önkormányzat (GFO 321)</w:t>
      </w:r>
    </w:p>
    <w:p w:rsidR="00CA6288" w:rsidRPr="00CA6288" w:rsidRDefault="00CA6288" w:rsidP="00CA6288">
      <w:pPr>
        <w:numPr>
          <w:ilvl w:val="0"/>
          <w:numId w:val="16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sz w:val="20"/>
          <w:szCs w:val="20"/>
          <w:lang w:eastAsia="hu-HU"/>
        </w:rPr>
        <w:t>Önkormányzati hivatal (költségvetési szerv) (GFO 325)</w:t>
      </w:r>
    </w:p>
    <w:p w:rsidR="00CA6288" w:rsidRPr="00CA6288" w:rsidRDefault="00CA6288" w:rsidP="00CA6288">
      <w:pPr>
        <w:numPr>
          <w:ilvl w:val="0"/>
          <w:numId w:val="16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 xml:space="preserve">Nonprofit gazdasági társaság, szervezet (GFO 572, 573, 575, 576, 599), amelyben az állam vagy önkormányzat </w:t>
      </w:r>
      <w:r w:rsidRPr="00CA6288">
        <w:rPr>
          <w:rFonts w:ascii="Arial" w:eastAsia="Calibri" w:hAnsi="Arial" w:cs="Arial"/>
          <w:sz w:val="20"/>
          <w:szCs w:val="20"/>
          <w:lang w:eastAsia="hu-HU"/>
        </w:rPr>
        <w:t xml:space="preserve">– </w:t>
      </w:r>
      <w:r w:rsidRPr="00CA6288">
        <w:rPr>
          <w:rFonts w:ascii="Arial" w:eastAsia="Calibri" w:hAnsi="Arial" w:cs="Arial"/>
          <w:sz w:val="20"/>
          <w:szCs w:val="20"/>
        </w:rPr>
        <w:t xml:space="preserve">együttesen vagy külön, közvetve vagy közvetlenül </w:t>
      </w:r>
      <w:r w:rsidRPr="00CA6288">
        <w:rPr>
          <w:rFonts w:ascii="Arial" w:eastAsia="Calibri" w:hAnsi="Arial" w:cs="Arial"/>
          <w:sz w:val="20"/>
          <w:szCs w:val="20"/>
          <w:lang w:eastAsia="hu-HU"/>
        </w:rPr>
        <w:t xml:space="preserve">– </w:t>
      </w:r>
      <w:r w:rsidRPr="00CA6288">
        <w:rPr>
          <w:rFonts w:ascii="Arial" w:eastAsia="Calibri" w:hAnsi="Arial" w:cs="Arial"/>
          <w:sz w:val="20"/>
          <w:szCs w:val="20"/>
        </w:rPr>
        <w:t>100%-os tulajdoni részesedéssel rendelkezik.</w:t>
      </w:r>
    </w:p>
    <w:p w:rsidR="00CA6288" w:rsidRPr="00CA6288" w:rsidRDefault="00CA6288" w:rsidP="00CA6288">
      <w:pPr>
        <w:numPr>
          <w:ilvl w:val="0"/>
          <w:numId w:val="16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lastRenderedPageBreak/>
        <w:t xml:space="preserve">Vállalkozás (GFO 11), amelyben az állam vagy önkormányzat </w:t>
      </w:r>
      <w:r w:rsidRPr="00CA6288">
        <w:rPr>
          <w:rFonts w:ascii="Arial" w:eastAsia="Calibri" w:hAnsi="Arial" w:cs="Arial"/>
          <w:sz w:val="20"/>
          <w:szCs w:val="20"/>
          <w:lang w:eastAsia="hu-HU"/>
        </w:rPr>
        <w:t xml:space="preserve">– </w:t>
      </w:r>
      <w:r w:rsidRPr="00CA6288">
        <w:rPr>
          <w:rFonts w:ascii="Arial" w:eastAsia="Calibri" w:hAnsi="Arial" w:cs="Arial"/>
          <w:sz w:val="20"/>
          <w:szCs w:val="20"/>
        </w:rPr>
        <w:t xml:space="preserve">együttesen vagy külön, közvetve vagy közvetlenül </w:t>
      </w:r>
      <w:r w:rsidRPr="00CA6288">
        <w:rPr>
          <w:rFonts w:ascii="Arial" w:eastAsia="Calibri" w:hAnsi="Arial" w:cs="Arial"/>
          <w:sz w:val="20"/>
          <w:szCs w:val="20"/>
          <w:lang w:eastAsia="hu-HU"/>
        </w:rPr>
        <w:t xml:space="preserve">– </w:t>
      </w:r>
      <w:r w:rsidRPr="00CA6288">
        <w:rPr>
          <w:rFonts w:ascii="Arial" w:eastAsia="Calibri" w:hAnsi="Arial" w:cs="Arial"/>
          <w:sz w:val="20"/>
          <w:szCs w:val="20"/>
        </w:rPr>
        <w:t>100%-os tulajdoni részesedéssel rendelkezik.</w:t>
      </w:r>
    </w:p>
    <w:p w:rsidR="00CA6288" w:rsidRPr="00CA6288" w:rsidRDefault="00CA6288" w:rsidP="00CA6288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CA6288">
        <w:rPr>
          <w:rFonts w:ascii="Arial" w:eastAsia="Times New Roman" w:hAnsi="Arial" w:cs="Arial"/>
          <w:bCs/>
          <w:sz w:val="20"/>
          <w:szCs w:val="20"/>
          <w:lang w:eastAsia="hu-HU"/>
        </w:rPr>
        <w:t>A felhívás illeszkedik az OFTK és a szakpolitikai stratégiák (Egészséges Magyarország 2021-2027, Tartós ápolás-gondozásra vonatkozó stratégia 2030) céljaihoz, figyelembe veszi az MNTFS 2030 Új Roma Stratégia „Egészségügyi alapellátás fejlesztése, „kapuőri” szerepének megerősítése” célját.</w:t>
      </w:r>
    </w:p>
    <w:p w:rsidR="00CA6288" w:rsidRPr="00CA6288" w:rsidRDefault="00CA6288" w:rsidP="00CA6288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A6288">
        <w:rPr>
          <w:rFonts w:ascii="Arial" w:eastAsia="Calibri" w:hAnsi="Arial" w:cs="Arial"/>
          <w:b/>
          <w:sz w:val="20"/>
          <w:szCs w:val="20"/>
        </w:rPr>
        <w:t>Földrajzi területi korlátozás:</w:t>
      </w:r>
    </w:p>
    <w:p w:rsidR="00CA6288" w:rsidRPr="00CA6288" w:rsidRDefault="00CA6288" w:rsidP="00CA6288">
      <w:pPr>
        <w:spacing w:before="120" w:after="0" w:line="240" w:lineRule="auto"/>
        <w:ind w:left="56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A6288">
        <w:rPr>
          <w:rFonts w:ascii="Arial" w:hAnsi="Arial" w:cs="Arial"/>
          <w:sz w:val="19"/>
          <w:szCs w:val="19"/>
        </w:rPr>
        <w:t>A kevésbé fejlett régiók szerinti vármegyék településein, kivéve a vármegyei Integrált Területi Programokban meghatározott azon városokat és várostérségeket, amelyek a Fenntartható Városfejlesztési eszköz keretében jogosultak támogatási kérelmet benyújtani.</w:t>
      </w:r>
    </w:p>
    <w:p w:rsidR="00CA6288" w:rsidRPr="00CA6288" w:rsidRDefault="00CA6288" w:rsidP="00CA6288">
      <w:pPr>
        <w:keepNext/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A6288">
        <w:rPr>
          <w:rFonts w:ascii="Arial" w:eastAsia="Calibri" w:hAnsi="Arial" w:cs="Arial"/>
          <w:b/>
          <w:sz w:val="20"/>
          <w:szCs w:val="20"/>
        </w:rPr>
        <w:t>Támogatási összeg (az előterjesztés időpontjában hatályos ÉFK alapján):</w:t>
      </w:r>
    </w:p>
    <w:p w:rsidR="00CA6288" w:rsidRPr="00CA6288" w:rsidRDefault="00CA6288" w:rsidP="00CA6288">
      <w:pPr>
        <w:spacing w:after="0" w:line="276" w:lineRule="auto"/>
        <w:ind w:left="567"/>
        <w:rPr>
          <w:rFonts w:ascii="Arial" w:hAnsi="Arial" w:cs="Arial"/>
          <w:sz w:val="20"/>
          <w:szCs w:val="20"/>
        </w:rPr>
      </w:pPr>
      <w:r w:rsidRPr="00CA6288">
        <w:rPr>
          <w:rFonts w:ascii="Arial" w:hAnsi="Arial" w:cs="Arial"/>
          <w:sz w:val="20"/>
          <w:szCs w:val="20"/>
        </w:rPr>
        <w:t>64,28 Mrd Ft</w:t>
      </w:r>
    </w:p>
    <w:p w:rsidR="00CA6288" w:rsidRPr="00CA6288" w:rsidRDefault="00CA6288" w:rsidP="00CA6288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A6288">
        <w:rPr>
          <w:rFonts w:ascii="Arial" w:eastAsia="Calibri" w:hAnsi="Arial" w:cs="Arial"/>
          <w:b/>
          <w:sz w:val="20"/>
          <w:szCs w:val="20"/>
        </w:rPr>
        <w:t>Elbírálás módja:</w:t>
      </w:r>
    </w:p>
    <w:p w:rsidR="00CA6288" w:rsidRPr="00CA6288" w:rsidRDefault="00CA6288" w:rsidP="00CA6288">
      <w:pPr>
        <w:spacing w:after="0" w:line="24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>A projektekről TKR standard eljárás szabályai szerint születik döntés.</w:t>
      </w:r>
    </w:p>
    <w:p w:rsidR="00CA6288" w:rsidRPr="00CA6288" w:rsidRDefault="00CA6288" w:rsidP="00CA6288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A6288">
        <w:rPr>
          <w:rFonts w:ascii="Arial" w:eastAsia="Calibri" w:hAnsi="Arial" w:cs="Arial"/>
          <w:b/>
          <w:sz w:val="20"/>
          <w:szCs w:val="20"/>
        </w:rPr>
        <w:t>Alkalmazott kiválasztási eljárásrend:</w:t>
      </w:r>
    </w:p>
    <w:p w:rsidR="00CA6288" w:rsidRPr="00CA6288" w:rsidRDefault="00CA6288" w:rsidP="00CA6288">
      <w:p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>A felhívásra beérkező támogatási kérelmek a Korm. rendelet alapján területi kiválasztási eljárásrend (TKR) alapján kerülnek kiválasztásra.</w:t>
      </w:r>
    </w:p>
    <w:p w:rsidR="00CA6288" w:rsidRPr="00CA6288" w:rsidRDefault="00CA6288" w:rsidP="00CA6288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A6288">
        <w:rPr>
          <w:rFonts w:ascii="Arial" w:eastAsia="Calibri" w:hAnsi="Arial" w:cs="Arial"/>
          <w:b/>
          <w:sz w:val="20"/>
          <w:szCs w:val="20"/>
        </w:rPr>
        <w:t>A felhívás a következő OP indikátorok teljesítéséhez járul hozzá:</w:t>
      </w:r>
    </w:p>
    <w:tbl>
      <w:tblPr>
        <w:tblStyle w:val="Rcsostblzat1"/>
        <w:tblW w:w="4925" w:type="pct"/>
        <w:jc w:val="center"/>
        <w:tblLayout w:type="fixed"/>
        <w:tblLook w:val="01E0" w:firstRow="1" w:lastRow="1" w:firstColumn="1" w:lastColumn="1" w:noHBand="0" w:noVBand="0"/>
      </w:tblPr>
      <w:tblGrid>
        <w:gridCol w:w="10718"/>
        <w:gridCol w:w="3066"/>
      </w:tblGrid>
      <w:tr w:rsidR="00CA6288" w:rsidRPr="00CA6288" w:rsidTr="00C5795A">
        <w:trPr>
          <w:trHeight w:val="3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6288" w:rsidRPr="00CA6288" w:rsidRDefault="00CA6288" w:rsidP="00CA6288">
            <w:pPr>
              <w:jc w:val="center"/>
              <w:rPr>
                <w:rFonts w:ascii="Arial" w:hAnsi="Arial" w:cs="Arial"/>
                <w:b/>
                <w:color w:val="A6A6A6" w:themeColor="background1" w:themeShade="A6"/>
              </w:rPr>
            </w:pPr>
            <w:proofErr w:type="spellStart"/>
            <w:r w:rsidRPr="00CA6288">
              <w:rPr>
                <w:rFonts w:ascii="Arial" w:hAnsi="Arial" w:cs="Arial"/>
                <w:b/>
                <w:color w:val="000000" w:themeColor="text1"/>
              </w:rPr>
              <w:t>Indikátor</w:t>
            </w:r>
            <w:proofErr w:type="spellEnd"/>
            <w:r w:rsidRPr="00CA6288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b/>
                <w:color w:val="000000" w:themeColor="text1"/>
              </w:rPr>
              <w:t>megnevezése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6288" w:rsidRPr="00CA6288" w:rsidRDefault="00CA6288" w:rsidP="00CA6288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CA6288">
              <w:rPr>
                <w:rFonts w:ascii="Arial" w:hAnsi="Arial" w:cs="Arial"/>
                <w:b/>
                <w:color w:val="000000" w:themeColor="text1"/>
              </w:rPr>
              <w:t>Kódszám</w:t>
            </w:r>
            <w:proofErr w:type="spellEnd"/>
          </w:p>
        </w:tc>
      </w:tr>
      <w:tr w:rsidR="00CA6288" w:rsidRPr="00CA6288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Fejlesztéssel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érintett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egészségügyi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alapellátást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nyújtó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szolgálatok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(benne: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háziorvos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házi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gyermekorvos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fogorvosi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védőnői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szolgálat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és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kapcsolódó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ügyeleti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ellátás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iskola-egészségügyi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ellátás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)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A6288">
              <w:rPr>
                <w:rFonts w:ascii="Arial" w:hAnsi="Arial" w:cs="Arial"/>
                <w:color w:val="000000" w:themeColor="text1"/>
              </w:rPr>
              <w:t>TPO01</w:t>
            </w:r>
          </w:p>
        </w:tc>
      </w:tr>
      <w:tr w:rsidR="00CA6288" w:rsidRPr="00CA6288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A6288">
              <w:rPr>
                <w:rFonts w:ascii="Arial" w:hAnsi="Arial" w:cs="Arial"/>
                <w:color w:val="000000" w:themeColor="text1"/>
              </w:rPr>
              <w:t xml:space="preserve">A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fejlesztés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révén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létrejövő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megújuló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szociális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alapszolgáltatások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és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gyermekjóléti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alapellátások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A6288">
              <w:rPr>
                <w:rFonts w:ascii="Arial" w:hAnsi="Arial" w:cs="Arial"/>
                <w:color w:val="000000" w:themeColor="text1"/>
              </w:rPr>
              <w:t>TPO02</w:t>
            </w:r>
          </w:p>
        </w:tc>
      </w:tr>
      <w:tr w:rsidR="00CA6288" w:rsidRPr="00CA6288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Az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új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vagy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korszerűsített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egészségügyi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ellátó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létesítmények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éves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felhasználói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A6288">
              <w:rPr>
                <w:rFonts w:ascii="Arial" w:hAnsi="Arial" w:cs="Arial"/>
                <w:color w:val="000000" w:themeColor="text1"/>
              </w:rPr>
              <w:t>RCR73</w:t>
            </w:r>
          </w:p>
        </w:tc>
      </w:tr>
      <w:tr w:rsidR="00CA6288" w:rsidRPr="00CA6288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Fejlesztett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egészségügyi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szolgáltatásokkal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rendelkező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települések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A6288">
              <w:rPr>
                <w:rFonts w:ascii="Arial" w:hAnsi="Arial" w:cs="Arial"/>
                <w:color w:val="000000" w:themeColor="text1"/>
              </w:rPr>
              <w:t>TPR13</w:t>
            </w:r>
          </w:p>
        </w:tc>
      </w:tr>
      <w:tr w:rsidR="00CA6288" w:rsidRPr="00CA6288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Újonnan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létrehozott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vagy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férőhelybővítéssel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érintett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szociális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alapszolgáltatásokkal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és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gyermekjóléti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alapellátásokkal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rendelkező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települések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288" w:rsidRPr="00CA6288" w:rsidRDefault="00CA6288" w:rsidP="00CA628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A6288">
              <w:rPr>
                <w:rFonts w:ascii="Arial" w:hAnsi="Arial" w:cs="Arial"/>
                <w:color w:val="000000" w:themeColor="text1"/>
              </w:rPr>
              <w:t>TPR14</w:t>
            </w:r>
          </w:p>
        </w:tc>
      </w:tr>
    </w:tbl>
    <w:p w:rsidR="00CA6288" w:rsidRPr="00CA6288" w:rsidRDefault="00CA6288" w:rsidP="00CA6288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A6288">
        <w:rPr>
          <w:rFonts w:ascii="Arial" w:eastAsia="Calibri" w:hAnsi="Arial" w:cs="Arial"/>
          <w:b/>
          <w:sz w:val="20"/>
          <w:szCs w:val="20"/>
        </w:rPr>
        <w:t>Kiválasztási kritériumok:</w:t>
      </w:r>
    </w:p>
    <w:p w:rsidR="00CA6288" w:rsidRPr="00CA6288" w:rsidRDefault="00CA6288" w:rsidP="00CA6288">
      <w:pPr>
        <w:numPr>
          <w:ilvl w:val="0"/>
          <w:numId w:val="3"/>
        </w:numPr>
        <w:spacing w:before="120" w:after="0" w:line="240" w:lineRule="auto"/>
        <w:ind w:left="113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proofErr w:type="spellStart"/>
      <w:r w:rsidRPr="00CA6288">
        <w:rPr>
          <w:rFonts w:ascii="Arial" w:eastAsia="Calibri" w:hAnsi="Arial" w:cs="Arial"/>
          <w:b/>
          <w:sz w:val="20"/>
          <w:szCs w:val="20"/>
        </w:rPr>
        <w:t>Felhívásspecifikus</w:t>
      </w:r>
      <w:proofErr w:type="spellEnd"/>
      <w:r w:rsidRPr="00CA6288">
        <w:rPr>
          <w:rFonts w:ascii="Arial" w:eastAsia="Calibri" w:hAnsi="Arial" w:cs="Arial"/>
          <w:b/>
          <w:sz w:val="20"/>
          <w:szCs w:val="20"/>
        </w:rPr>
        <w:t xml:space="preserve"> nem </w:t>
      </w:r>
      <w:proofErr w:type="spellStart"/>
      <w:r w:rsidRPr="00CA6288">
        <w:rPr>
          <w:rFonts w:ascii="Arial" w:eastAsia="Calibri" w:hAnsi="Arial" w:cs="Arial"/>
          <w:b/>
          <w:sz w:val="20"/>
          <w:szCs w:val="20"/>
        </w:rPr>
        <w:t>hiánypótoltatható</w:t>
      </w:r>
      <w:proofErr w:type="spellEnd"/>
      <w:r w:rsidRPr="00CA6288">
        <w:rPr>
          <w:rFonts w:ascii="Arial" w:eastAsia="Calibri" w:hAnsi="Arial" w:cs="Arial"/>
          <w:b/>
          <w:sz w:val="20"/>
          <w:szCs w:val="20"/>
        </w:rPr>
        <w:t xml:space="preserve"> jogosultsági kritériumok:</w:t>
      </w:r>
    </w:p>
    <w:p w:rsidR="00CA6288" w:rsidRPr="00CA6288" w:rsidRDefault="00CA6288" w:rsidP="00CA6288">
      <w:pPr>
        <w:spacing w:before="60" w:after="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A6288">
        <w:rPr>
          <w:rFonts w:ascii="Arial" w:hAnsi="Arial" w:cs="Arial"/>
          <w:color w:val="000000" w:themeColor="text1"/>
          <w:sz w:val="20"/>
          <w:szCs w:val="20"/>
        </w:rPr>
        <w:t>Nem releváns.</w:t>
      </w:r>
    </w:p>
    <w:p w:rsidR="00CA6288" w:rsidRPr="00CA6288" w:rsidRDefault="00CA6288" w:rsidP="00CA6288">
      <w:pPr>
        <w:numPr>
          <w:ilvl w:val="0"/>
          <w:numId w:val="3"/>
        </w:numPr>
        <w:spacing w:before="120" w:after="0" w:line="240" w:lineRule="auto"/>
        <w:ind w:left="113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proofErr w:type="spellStart"/>
      <w:r w:rsidRPr="00CA6288">
        <w:rPr>
          <w:rFonts w:ascii="Arial" w:eastAsia="Calibri" w:hAnsi="Arial" w:cs="Arial"/>
          <w:b/>
          <w:sz w:val="20"/>
          <w:szCs w:val="20"/>
        </w:rPr>
        <w:t>Felhívásspecifikus</w:t>
      </w:r>
      <w:proofErr w:type="spellEnd"/>
      <w:r w:rsidRPr="00CA6288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 w:rsidRPr="00CA6288">
        <w:rPr>
          <w:rFonts w:ascii="Arial" w:eastAsia="Calibri" w:hAnsi="Arial" w:cs="Arial"/>
          <w:b/>
          <w:sz w:val="20"/>
          <w:szCs w:val="20"/>
        </w:rPr>
        <w:t>hiánypótoltatható</w:t>
      </w:r>
      <w:proofErr w:type="spellEnd"/>
      <w:r w:rsidRPr="00CA6288">
        <w:rPr>
          <w:rFonts w:ascii="Arial" w:eastAsia="Calibri" w:hAnsi="Arial" w:cs="Arial"/>
          <w:b/>
          <w:sz w:val="20"/>
          <w:szCs w:val="20"/>
        </w:rPr>
        <w:t xml:space="preserve"> jogosultsági kritériumok:</w:t>
      </w:r>
    </w:p>
    <w:p w:rsidR="00CA6288" w:rsidRPr="00CA6288" w:rsidRDefault="00CA6288" w:rsidP="00CA6288">
      <w:pPr>
        <w:numPr>
          <w:ilvl w:val="0"/>
          <w:numId w:val="4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 támogatási kérelemben szereplő, az igényelt támogatásra vonatkozó táblázatok adatai egyezőek.</w:t>
      </w:r>
    </w:p>
    <w:p w:rsidR="00CA6288" w:rsidRPr="00CA6288" w:rsidRDefault="00CA6288" w:rsidP="00CA6288">
      <w:pPr>
        <w:numPr>
          <w:ilvl w:val="0"/>
          <w:numId w:val="4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>A fejlesztés megvalósításának időtartama a felhívásban megadott időintervallum maximumán belül van.</w:t>
      </w:r>
    </w:p>
    <w:p w:rsidR="00CA6288" w:rsidRPr="00CA6288" w:rsidRDefault="00CA6288" w:rsidP="00CA6288">
      <w:pPr>
        <w:numPr>
          <w:ilvl w:val="0"/>
          <w:numId w:val="4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t xml:space="preserve">A </w:t>
      </w:r>
      <w:proofErr w:type="spellStart"/>
      <w:r w:rsidRPr="00CA6288">
        <w:rPr>
          <w:rFonts w:ascii="Arial" w:eastAsia="Calibri" w:hAnsi="Arial" w:cs="Arial"/>
          <w:sz w:val="20"/>
          <w:szCs w:val="20"/>
        </w:rPr>
        <w:t>hiánypótolható</w:t>
      </w:r>
      <w:proofErr w:type="spellEnd"/>
      <w:r w:rsidRPr="00CA6288">
        <w:rPr>
          <w:rFonts w:ascii="Arial" w:eastAsia="Calibri" w:hAnsi="Arial" w:cs="Arial"/>
          <w:sz w:val="20"/>
          <w:szCs w:val="20"/>
        </w:rPr>
        <w:t>, kötelezően csatolandó mellékletek benyújtásra kerültek.</w:t>
      </w:r>
    </w:p>
    <w:p w:rsidR="00CA6288" w:rsidRPr="00CA6288" w:rsidRDefault="00CA6288" w:rsidP="00CA6288">
      <w:pPr>
        <w:numPr>
          <w:ilvl w:val="0"/>
          <w:numId w:val="4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A6288">
        <w:rPr>
          <w:rFonts w:ascii="Arial" w:eastAsia="Calibri" w:hAnsi="Arial" w:cs="Arial"/>
          <w:sz w:val="20"/>
          <w:szCs w:val="20"/>
        </w:rPr>
        <w:lastRenderedPageBreak/>
        <w:t>A támogatást igénylő rendelkezik az egyenlő bánásmódról és az esélyegyenlőség előmozdításáról szóló 2003. évi CXXV. törvény 31. §</w:t>
      </w:r>
      <w:proofErr w:type="spellStart"/>
      <w:r w:rsidRPr="00CA6288">
        <w:rPr>
          <w:rFonts w:ascii="Arial" w:eastAsia="Calibri" w:hAnsi="Arial" w:cs="Arial"/>
          <w:sz w:val="20"/>
          <w:szCs w:val="20"/>
        </w:rPr>
        <w:t>-a</w:t>
      </w:r>
      <w:proofErr w:type="spellEnd"/>
      <w:r w:rsidRPr="00CA6288">
        <w:rPr>
          <w:rFonts w:ascii="Arial" w:eastAsia="Calibri" w:hAnsi="Arial" w:cs="Arial"/>
          <w:sz w:val="20"/>
          <w:szCs w:val="20"/>
        </w:rPr>
        <w:t xml:space="preserve"> szerinti öt évre szóló helyi esélyegyenlőségi programmal vagy az egyenlő bánásmódról és az esélyegyenlőség előmozdításáról szóló 2003. évi CXXV. törvény 63. §</w:t>
      </w:r>
      <w:proofErr w:type="spellStart"/>
      <w:r w:rsidRPr="00CA6288">
        <w:rPr>
          <w:rFonts w:ascii="Arial" w:eastAsia="Calibri" w:hAnsi="Arial" w:cs="Arial"/>
          <w:sz w:val="20"/>
          <w:szCs w:val="20"/>
        </w:rPr>
        <w:t>-a</w:t>
      </w:r>
      <w:proofErr w:type="spellEnd"/>
      <w:r w:rsidRPr="00CA6288">
        <w:rPr>
          <w:rFonts w:ascii="Arial" w:eastAsia="Calibri" w:hAnsi="Arial" w:cs="Arial"/>
          <w:sz w:val="20"/>
          <w:szCs w:val="20"/>
        </w:rPr>
        <w:t xml:space="preserve"> szerinti esélyegyenlőségi tervvel.</w:t>
      </w:r>
    </w:p>
    <w:p w:rsidR="00CA6288" w:rsidRPr="00CA6288" w:rsidRDefault="00CA6288" w:rsidP="00CA6288">
      <w:pPr>
        <w:keepNext/>
        <w:numPr>
          <w:ilvl w:val="0"/>
          <w:numId w:val="3"/>
        </w:numPr>
        <w:spacing w:before="120" w:after="120" w:line="240" w:lineRule="auto"/>
        <w:ind w:left="1134" w:hanging="357"/>
        <w:jc w:val="both"/>
        <w:rPr>
          <w:rFonts w:ascii="Arial" w:eastAsia="Calibri" w:hAnsi="Arial" w:cs="Arial"/>
          <w:b/>
          <w:bCs/>
          <w:sz w:val="20"/>
          <w:szCs w:val="20"/>
        </w:rPr>
      </w:pPr>
      <w:proofErr w:type="spellStart"/>
      <w:r w:rsidRPr="00CA6288">
        <w:rPr>
          <w:rFonts w:ascii="Arial" w:eastAsia="Calibri" w:hAnsi="Arial" w:cs="Arial"/>
          <w:b/>
          <w:bCs/>
          <w:sz w:val="20"/>
          <w:szCs w:val="20"/>
        </w:rPr>
        <w:t>Felhívásspecifikus</w:t>
      </w:r>
      <w:proofErr w:type="spellEnd"/>
      <w:r w:rsidRPr="00CA6288">
        <w:rPr>
          <w:rFonts w:ascii="Arial" w:eastAsia="Calibri" w:hAnsi="Arial" w:cs="Arial"/>
          <w:b/>
          <w:bCs/>
          <w:sz w:val="20"/>
          <w:szCs w:val="20"/>
        </w:rPr>
        <w:t xml:space="preserve"> tartalmi kiválasztási kritériumok:</w:t>
      </w:r>
    </w:p>
    <w:tbl>
      <w:tblPr>
        <w:tblW w:w="13255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9"/>
        <w:gridCol w:w="2193"/>
        <w:gridCol w:w="3969"/>
        <w:gridCol w:w="3827"/>
        <w:gridCol w:w="2127"/>
      </w:tblGrid>
      <w:tr w:rsidR="00CA6288" w:rsidRPr="00CA6288" w:rsidTr="00C5795A">
        <w:trPr>
          <w:trHeight w:val="600"/>
          <w:tblHeader/>
        </w:trPr>
        <w:tc>
          <w:tcPr>
            <w:tcW w:w="1139" w:type="dxa"/>
            <w:shd w:val="clear" w:color="auto" w:fill="D9D9D9" w:themeFill="background1" w:themeFillShade="D9"/>
            <w:vAlign w:val="center"/>
            <w:hideMark/>
          </w:tcPr>
          <w:p w:rsidR="00CA6288" w:rsidRPr="00CA6288" w:rsidRDefault="00CA6288" w:rsidP="00CA6288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A6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Azonosító</w:t>
            </w:r>
          </w:p>
        </w:tc>
        <w:tc>
          <w:tcPr>
            <w:tcW w:w="2193" w:type="dxa"/>
            <w:shd w:val="clear" w:color="auto" w:fill="D9D9D9" w:themeFill="background1" w:themeFillShade="D9"/>
            <w:vAlign w:val="center"/>
          </w:tcPr>
          <w:p w:rsidR="00CA6288" w:rsidRPr="00CA6288" w:rsidRDefault="00CA6288" w:rsidP="00CA6288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A6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Kritérium megnevezése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  <w:hideMark/>
          </w:tcPr>
          <w:p w:rsidR="00CA6288" w:rsidRPr="00CA6288" w:rsidRDefault="00CA6288" w:rsidP="00CA6288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A6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Tartalmi magyarázat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CA6288" w:rsidRPr="00CA6288" w:rsidRDefault="00CA6288" w:rsidP="00CA6288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A6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Értékelési módszertan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CA6288" w:rsidRPr="00CA6288" w:rsidRDefault="00CA6288" w:rsidP="00CA6288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Minősítés</w:t>
            </w:r>
          </w:p>
          <w:p w:rsidR="00CA6288" w:rsidRPr="00CA6288" w:rsidRDefault="00CA6288" w:rsidP="00CA6288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(Megfelelt/</w:t>
            </w:r>
          </w:p>
          <w:p w:rsidR="00CA6288" w:rsidRPr="00CA6288" w:rsidRDefault="00CA6288" w:rsidP="00CA6288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Részben megfelelt/</w:t>
            </w:r>
          </w:p>
          <w:p w:rsidR="00CA6288" w:rsidRPr="00CA6288" w:rsidRDefault="00CA6288" w:rsidP="00CA6288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Nem felelt meg/</w:t>
            </w:r>
          </w:p>
          <w:p w:rsidR="00CA6288" w:rsidRPr="00CA6288" w:rsidRDefault="00CA6288" w:rsidP="00CA6288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A628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Nem releváns)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Kizáró okok vizsgálata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CA6288">
              <w:rPr>
                <w:rFonts w:ascii="Arial" w:hAnsi="Arial" w:cs="Arial"/>
                <w:iCs/>
                <w:sz w:val="20"/>
                <w:szCs w:val="20"/>
              </w:rPr>
              <w:t>A támogatást igénylő és a támogatási kérelem tárgya nem tartozik a Felhívás 1.2. pontjában meghatározott kizáró okok alá.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Vizsgálandó, hogy a Projekt adatlap adatmezői és a megalapozó dokumentum alapján a támogatást igénylő és a támogatási kérelem tárgya nem tartozik a Felhívás 1.2. pontjában meghatározott kizáró okok alá.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CA6288">
              <w:rPr>
                <w:rFonts w:ascii="Arial" w:hAnsi="Arial" w:cs="Arial"/>
                <w:bCs/>
                <w:iCs/>
                <w:sz w:val="20"/>
                <w:szCs w:val="20"/>
              </w:rPr>
              <w:t>A helyzetelemzés és az igényfelmérés alátámasztja a tervezett fejlesztés indokoltságát, szükségességét.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Vizsgálandó, hogy a megalapozó dokumentumban kifejtetésre került minden releváns szempont az alábbiakhoz kapcsolódóan:</w:t>
            </w:r>
          </w:p>
          <w:p w:rsidR="00CA6288" w:rsidRPr="00CA6288" w:rsidRDefault="00CA6288" w:rsidP="00CA6288">
            <w:pPr>
              <w:numPr>
                <w:ilvl w:val="0"/>
                <w:numId w:val="17"/>
              </w:numPr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érintett hátrányos helyzetű </w:t>
            </w:r>
            <w:proofErr w:type="gramStart"/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célcsoport(</w:t>
            </w:r>
            <w:proofErr w:type="gramEnd"/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ok) bemutatása, és annak kifejtése hogyan segíti őket a beruházás,</w:t>
            </w:r>
          </w:p>
          <w:p w:rsidR="00CA6288" w:rsidRPr="00CA6288" w:rsidRDefault="00CA6288" w:rsidP="00CA6288">
            <w:pPr>
              <w:numPr>
                <w:ilvl w:val="0"/>
                <w:numId w:val="17"/>
              </w:numPr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érintett terület lehatárolása és a meglévő állapot bemutatása,</w:t>
            </w:r>
          </w:p>
          <w:p w:rsidR="00CA6288" w:rsidRPr="00CA6288" w:rsidRDefault="00CA6288" w:rsidP="00CA6288">
            <w:pPr>
              <w:numPr>
                <w:ilvl w:val="0"/>
                <w:numId w:val="17"/>
              </w:numPr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 fejlesztés indokoltsága, szükségessége,</w:t>
            </w:r>
          </w:p>
          <w:p w:rsidR="00CA6288" w:rsidRPr="00CA6288" w:rsidRDefault="00CA6288" w:rsidP="00CA6288">
            <w:pPr>
              <w:numPr>
                <w:ilvl w:val="0"/>
                <w:numId w:val="17"/>
              </w:numPr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annak bemutatása, hogy a fejlesztés nem okoz kihasználatlan kapacitásbővítést, fejlesztést,</w:t>
            </w:r>
          </w:p>
          <w:p w:rsidR="00CA6288" w:rsidRPr="00CA6288" w:rsidRDefault="00CA6288" w:rsidP="00CA6288">
            <w:pPr>
              <w:numPr>
                <w:ilvl w:val="0"/>
                <w:numId w:val="17"/>
              </w:numPr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 projekt megalapozottsága (egyszerűsített közgazdasági elemzését).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Szociális alapszolgáltatások és gyermekjóléti alapellátások fejlesztése esetén különösen vizsgálandó, hogy </w:t>
            </w:r>
            <w:r w:rsidRPr="00CA6288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 fejlesztendő szolgáltatásra vonatkozóan az igényfelmérési szempontok (melyeket az „</w:t>
            </w: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Útmutató a Megalapozó dokumentum elkészítéséhez” c. felhívás melléklet, valamint a Felhívás 2.3. pontja tartalmaz) </w:t>
            </w:r>
            <w:r w:rsidRPr="00CA6288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bemutatásra kerültek, melyek révén felhívás céljának megfelelő minőségi és egyenlő eséllyel hozzáférhető szolgáltatások kerülnek fejlesztésre.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A 2021/1060/EU rendelete 73. cikk (2) c) pontjának való megfelelés érdekében bemutatásra került, hogy a választott műszaki megoldások a legoptimálisabbak a tervezett célok eléréséhez.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Vizsgálandó, hogy minden releváns kérdés kifejtésre került, valamint hogy a helyzetelemzés a projekt keretében tervezett tevékenységek indokoltságát, célját alátámasztja.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értékelés során vizsgálandó:</w:t>
            </w:r>
          </w:p>
          <w:p w:rsidR="00CA6288" w:rsidRPr="00CA6288" w:rsidRDefault="00CA6288" w:rsidP="00CA6288">
            <w:pPr>
              <w:numPr>
                <w:ilvl w:val="0"/>
                <w:numId w:val="1"/>
              </w:numPr>
              <w:spacing w:after="0" w:line="240" w:lineRule="auto"/>
              <w:ind w:left="496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 megalapozó dokumentum értékelési szemponthoz kapcsolódó pontjai,</w:t>
            </w:r>
          </w:p>
          <w:p w:rsidR="00CA6288" w:rsidRPr="00CA6288" w:rsidRDefault="00CA6288" w:rsidP="00CA6288">
            <w:pPr>
              <w:numPr>
                <w:ilvl w:val="0"/>
                <w:numId w:val="1"/>
              </w:numPr>
              <w:spacing w:after="0" w:line="240" w:lineRule="auto"/>
              <w:ind w:left="496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 Felhívás 12.1 pontja szerinti releváns megalapozó dokumentum mellékletek.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„Nem felelt meg” minősítés esetén a támogatási kérelem elutasításra kerül.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hu-HU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 támogatást igénylő megfelel a Felhívás 1.1. pontjában foglalt elvárásoknak.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 Felhívás 1.1. pontja alapján főtevékenységenként eltérő a lehetséges támogatást igénylők köre, valamint az annak alátámasztásul szolgáló benyújtandó dokumentumok köre.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Vizsgálni szükséges, hogy a projekt a Felhívás 1.1. pontjában foglalt elvárásoknak </w:t>
            </w:r>
            <w:proofErr w:type="spellStart"/>
            <w:r w:rsidRPr="00CA628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teljeskörűen</w:t>
            </w:r>
            <w:proofErr w:type="spellEnd"/>
            <w:r w:rsidRPr="00CA628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megfelel.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Amennyiben a támogatás kérelem több főtevékenység fejlesztésére is irányul, úgy a támogatást igénylőnek meg kell felelnie az összes fejlesztendő főtevékenység támogatást igénylői körére vonatkozó elvárásnak.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értékelés során vizsgálandó:</w:t>
            </w:r>
          </w:p>
          <w:p w:rsidR="00CA6288" w:rsidRPr="00CA6288" w:rsidRDefault="00CA6288" w:rsidP="00CA6288">
            <w:pPr>
              <w:numPr>
                <w:ilvl w:val="0"/>
                <w:numId w:val="1"/>
              </w:numPr>
              <w:spacing w:after="0" w:line="240" w:lineRule="auto"/>
              <w:ind w:left="498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 megalapozó dokumentum értékelési szemponthoz kapcsolódó pontjai,</w:t>
            </w:r>
          </w:p>
          <w:p w:rsidR="00CA6288" w:rsidRPr="00CA6288" w:rsidRDefault="00CA6288" w:rsidP="00CA6288">
            <w:pPr>
              <w:numPr>
                <w:ilvl w:val="0"/>
                <w:numId w:val="1"/>
              </w:numPr>
              <w:spacing w:after="0" w:line="240" w:lineRule="auto"/>
              <w:ind w:left="498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</w:t>
            </w:r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fejlesztendő </w:t>
            </w:r>
            <w:proofErr w:type="gramStart"/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>ingatlan(</w:t>
            </w:r>
            <w:proofErr w:type="gramEnd"/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 xml:space="preserve">ok) tulajdoni lapja, vagy vagyonkezelést/használati jogot igazoló dokumentum (Amennyiben a Felhívás 1.1. pontja alapján a támogatást igénylő az ingatlan(ok) tulajdonosa/vagyonkezelője/használója, annak igazolásául szükséges a fejlesztendő </w:t>
            </w:r>
            <w:proofErr w:type="spellStart"/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>ingaltan</w:t>
            </w:r>
            <w:proofErr w:type="spellEnd"/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 xml:space="preserve">(ok) tulajdoni lapjának vagy vagyonkezelést/használati jogot </w:t>
            </w:r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lastRenderedPageBreak/>
              <w:t>igazoló dokumentumnak a benyújtása a támogatási kérelemmel egyidejűleg.)</w:t>
            </w:r>
          </w:p>
          <w:p w:rsidR="00CA6288" w:rsidRPr="00CA6288" w:rsidRDefault="00CA6288" w:rsidP="00CA6288">
            <w:pPr>
              <w:numPr>
                <w:ilvl w:val="0"/>
                <w:numId w:val="1"/>
              </w:numPr>
              <w:spacing w:after="0" w:line="240" w:lineRule="auto"/>
              <w:ind w:left="498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Konzorciumi együttműködési megállapodás</w:t>
            </w:r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támogatási kérelem benyújtásához (amennyiben releváns)</w:t>
            </w:r>
          </w:p>
          <w:p w:rsidR="00CA6288" w:rsidRPr="00CA6288" w:rsidRDefault="00CA6288" w:rsidP="00CA6288">
            <w:pPr>
              <w:numPr>
                <w:ilvl w:val="0"/>
                <w:numId w:val="22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</w:rPr>
              <w:t xml:space="preserve">egyéb, </w:t>
            </w: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 Felhívás 12.1 pontja szerinti releváns megalapozó dokumentum melléklet.</w:t>
            </w:r>
          </w:p>
          <w:p w:rsidR="00CA6288" w:rsidRPr="00CA6288" w:rsidRDefault="00CA6288" w:rsidP="00CA6288">
            <w:pPr>
              <w:numPr>
                <w:ilvl w:val="0"/>
                <w:numId w:val="1"/>
              </w:numPr>
              <w:spacing w:after="0" w:line="240" w:lineRule="auto"/>
              <w:ind w:left="498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egészségügyi alapellátás esetén releváns dokumentumok:</w:t>
            </w:r>
          </w:p>
          <w:p w:rsidR="00CA6288" w:rsidRPr="00CA6288" w:rsidRDefault="00CA6288" w:rsidP="00CA6288">
            <w:pPr>
              <w:numPr>
                <w:ilvl w:val="0"/>
                <w:numId w:val="19"/>
              </w:numPr>
              <w:spacing w:after="0" w:line="240" w:lineRule="auto"/>
              <w:ind w:left="923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  <w:lang w:eastAsia="hu-HU"/>
              </w:rPr>
              <w:t>Összesítés a fejlesztéssel érintett egységek működési engedélyéről, a fejlesztéssel érintett közfinanszírozott kapacitásokról – egészségügyi alapellátás</w:t>
            </w:r>
          </w:p>
          <w:p w:rsidR="00CA6288" w:rsidRPr="00CA6288" w:rsidRDefault="00CA6288" w:rsidP="00CA6288">
            <w:pPr>
              <w:numPr>
                <w:ilvl w:val="0"/>
                <w:numId w:val="19"/>
              </w:numPr>
              <w:spacing w:after="0" w:line="240" w:lineRule="auto"/>
              <w:ind w:left="923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  <w:lang w:eastAsia="hu-HU"/>
              </w:rPr>
              <w:t>Az egészségügyi szolgáltató és az önkormányzat között létrejött egészségügyi ellátásra vonatkozó megállapodás (amennyiben releváns)</w:t>
            </w:r>
          </w:p>
          <w:p w:rsidR="00CA6288" w:rsidRPr="00CA6288" w:rsidRDefault="00CA6288" w:rsidP="00CA6288">
            <w:pPr>
              <w:numPr>
                <w:ilvl w:val="0"/>
                <w:numId w:val="19"/>
              </w:numPr>
              <w:spacing w:after="0" w:line="240" w:lineRule="auto"/>
              <w:ind w:left="923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  <w:lang w:eastAsia="hu-HU"/>
              </w:rPr>
              <w:t>Helyi önkormányzat támogató nyilatkozata, amennyiben a támogatást igénylő nem az önkormányzat (amennyiben releváns)</w:t>
            </w:r>
          </w:p>
          <w:p w:rsidR="00CA6288" w:rsidRPr="00CA6288" w:rsidRDefault="00CA6288" w:rsidP="00CA6288">
            <w:pPr>
              <w:numPr>
                <w:ilvl w:val="0"/>
                <w:numId w:val="19"/>
              </w:numPr>
              <w:spacing w:after="0" w:line="240" w:lineRule="auto"/>
              <w:ind w:left="923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  <w:lang w:eastAsia="hu-HU"/>
              </w:rPr>
              <w:t>Több települést ellátó praxishoz tartozó, konzorciumban nem résztvevő települések támogató nyilatkozata (amennyiben releváns)</w:t>
            </w:r>
          </w:p>
          <w:p w:rsidR="00CA6288" w:rsidRPr="00CA6288" w:rsidRDefault="00CA6288" w:rsidP="00CA6288">
            <w:pPr>
              <w:numPr>
                <w:ilvl w:val="0"/>
                <w:numId w:val="19"/>
              </w:numPr>
              <w:spacing w:after="0" w:line="240" w:lineRule="auto"/>
              <w:ind w:left="923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  <w:lang w:eastAsia="hu-HU"/>
              </w:rPr>
              <w:lastRenderedPageBreak/>
              <w:t>Védőnői szolgálat esetén a jogszabály szerinti megállapodás másolata</w:t>
            </w:r>
          </w:p>
          <w:p w:rsidR="00CA6288" w:rsidRPr="00CA6288" w:rsidRDefault="00CA6288" w:rsidP="00CA6288">
            <w:pPr>
              <w:numPr>
                <w:ilvl w:val="0"/>
                <w:numId w:val="1"/>
              </w:numPr>
              <w:spacing w:after="0" w:line="240" w:lineRule="auto"/>
              <w:ind w:left="498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egészségügyi </w:t>
            </w:r>
            <w:proofErr w:type="spellStart"/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járóbeteg</w:t>
            </w:r>
            <w:proofErr w:type="spellEnd"/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szakellátás esetén releváns dokumentumok:</w:t>
            </w:r>
          </w:p>
          <w:p w:rsidR="00CA6288" w:rsidRPr="00CA6288" w:rsidRDefault="00CA6288" w:rsidP="00CA6288">
            <w:pPr>
              <w:numPr>
                <w:ilvl w:val="0"/>
                <w:numId w:val="18"/>
              </w:numPr>
              <w:spacing w:after="0" w:line="240" w:lineRule="auto"/>
              <w:ind w:left="923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 xml:space="preserve">Összesítés a fejlesztéssel érintett egységek működési engedélyéről, a fejlesztéssel érintett közfinanszírozott kapacitásokról – </w:t>
            </w:r>
            <w:proofErr w:type="spellStart"/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>járóbeteg</w:t>
            </w:r>
            <w:proofErr w:type="spellEnd"/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szakellátás</w:t>
            </w:r>
          </w:p>
          <w:p w:rsidR="00CA6288" w:rsidRPr="00CA6288" w:rsidRDefault="00CA6288" w:rsidP="00CA6288">
            <w:pPr>
              <w:numPr>
                <w:ilvl w:val="0"/>
                <w:numId w:val="18"/>
              </w:numPr>
              <w:spacing w:after="0" w:line="240" w:lineRule="auto"/>
              <w:ind w:left="923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  <w:lang w:eastAsia="hu-HU"/>
              </w:rPr>
              <w:t xml:space="preserve">Egészségügyi </w:t>
            </w:r>
            <w:proofErr w:type="spellStart"/>
            <w:r w:rsidRPr="00CA6288">
              <w:rPr>
                <w:rFonts w:ascii="Arial" w:eastAsia="Calibri" w:hAnsi="Arial" w:cs="Arial"/>
                <w:sz w:val="20"/>
                <w:szCs w:val="20"/>
                <w:lang w:eastAsia="hu-HU"/>
              </w:rPr>
              <w:t>járóbeteg</w:t>
            </w:r>
            <w:proofErr w:type="spellEnd"/>
            <w:r w:rsidRPr="00CA6288">
              <w:rPr>
                <w:rFonts w:ascii="Arial" w:eastAsia="Calibri" w:hAnsi="Arial" w:cs="Arial"/>
                <w:sz w:val="20"/>
                <w:szCs w:val="20"/>
                <w:lang w:eastAsia="hu-HU"/>
              </w:rPr>
              <w:t xml:space="preserve"> szakrendelő által benyújtott támogatási kérelem esetén az intézmény fenntartójának/tulajdonosának hozzájáruló nyilatkozata (amennyiben releváns)</w:t>
            </w:r>
          </w:p>
          <w:p w:rsidR="00CA6288" w:rsidRPr="00CA6288" w:rsidRDefault="00CA6288" w:rsidP="00CA628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98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szociális alapszolgáltatások és gyermekjóléti alapellátások esetén releváns dokumentumok:</w:t>
            </w:r>
          </w:p>
          <w:p w:rsidR="00CA6288" w:rsidRPr="00CA6288" w:rsidRDefault="00CA6288" w:rsidP="00CA6288">
            <w:pPr>
              <w:numPr>
                <w:ilvl w:val="0"/>
                <w:numId w:val="20"/>
              </w:numPr>
              <w:spacing w:after="0" w:line="240" w:lineRule="auto"/>
              <w:ind w:left="923" w:hanging="357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>A fenntartó vagy az ingatlan tulajdonosának hozzájáruló támogató nyilatkozata a projekt benyújtásához (Amennyiben intézménynek helyt adó ingatlan tulajdonosa különbözik az intézménynek fenntartójától.)</w:t>
            </w:r>
          </w:p>
          <w:p w:rsidR="00CA6288" w:rsidRPr="00CA6288" w:rsidRDefault="00CA6288" w:rsidP="00CA6288">
            <w:pPr>
              <w:numPr>
                <w:ilvl w:val="0"/>
                <w:numId w:val="20"/>
              </w:numPr>
              <w:spacing w:after="0" w:line="240" w:lineRule="auto"/>
              <w:ind w:left="923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t>Fejlesztéssel érintett intézmény alapító vagy létesítő okirata (Helyi önkormányzat esetén Törzskönyvi igazolás is elfogadható!)</w:t>
            </w:r>
          </w:p>
          <w:p w:rsidR="00CA6288" w:rsidRPr="00CA6288" w:rsidRDefault="00CA6288" w:rsidP="00CA6288">
            <w:pPr>
              <w:numPr>
                <w:ilvl w:val="0"/>
                <w:numId w:val="20"/>
              </w:numPr>
              <w:spacing w:after="0" w:line="240" w:lineRule="auto"/>
              <w:ind w:left="923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iCs/>
                <w:sz w:val="20"/>
                <w:szCs w:val="20"/>
              </w:rPr>
              <w:lastRenderedPageBreak/>
              <w:t>Szolgáltatói nyilvántartásba vételt igazoló dokumentum (működési engedély)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Szociális alapellátás és/vagy gyermekjóléti alapellátás f</w:t>
            </w:r>
            <w:r w:rsidRPr="00CA6288">
              <w:rPr>
                <w:rFonts w:ascii="Arial" w:eastAsia="Times New Roman" w:hAnsi="Arial" w:cs="Arial"/>
                <w:bCs/>
                <w:sz w:val="20"/>
                <w:szCs w:val="20"/>
                <w:lang w:eastAsia="hu-HU"/>
              </w:rPr>
              <w:t>érőhelybővítése/új szolgáltatás létrehozása esetén a projekt illeszkedik a helyi önkormányzat szociális szolgáltatástervezési koncepciójához vagy a projekt támogató önkormányzati döntéssel rendelkezik.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</w:rPr>
              <w:t>Szociális alapellátás és/vagy gyermekjóléti alapellátás esetén, ha a projekt f</w:t>
            </w:r>
            <w:r w:rsidRPr="00CA628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hu-HU"/>
              </w:rPr>
              <w:t xml:space="preserve">érőhelybővítésre/új szolgáltatás létrehozására irányul, és a megvalósítási helyszínnel érintett település </w:t>
            </w:r>
            <w:r w:rsidRPr="00CA6288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rendelkezik szociális szolgáltatástervezési koncepcióval, a megalapozó dokumentumban be kell mutatni a tervezett fejlesztés szociális szolgáltatástervezési koncepcióhoz való illeszkedését.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Amennyiben </w:t>
            </w:r>
            <w:r w:rsidRPr="00CA628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hu-HU"/>
              </w:rPr>
              <w:t xml:space="preserve">a megvalósítási helyszínnel érintett település nem </w:t>
            </w:r>
            <w:r w:rsidRPr="00CA6288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rendelkezik szociális szolgáltatástervezési koncepcióval, úgy a támogatási kérelem benyújtásához a fejlesztéssel érintett település támogató önkormányzati döntését kell csatolni.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Vizsgálni szükséges, hogy </w:t>
            </w:r>
            <w:r w:rsidRPr="00CA6288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</w:rPr>
              <w:t>releváns esetben az illeszkedés bemutatásra került vagy a projekt támogató önkormányzati döntéssel rendelkezik.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értékelés során vizsgálandó:</w:t>
            </w:r>
          </w:p>
          <w:p w:rsidR="00CA6288" w:rsidRPr="00CA6288" w:rsidRDefault="00CA6288" w:rsidP="00CA6288">
            <w:pPr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b/>
                <w:color w:val="2F5496" w:themeColor="accent5" w:themeShade="BF"/>
                <w:sz w:val="20"/>
                <w:szCs w:val="20"/>
                <w:u w:val="single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a megalapozó dokumentum értékelési szemponthoz kapcsolódó pontjai,</w:t>
            </w:r>
          </w:p>
          <w:p w:rsidR="00CA6288" w:rsidRPr="00CA6288" w:rsidRDefault="00CA6288" w:rsidP="00CA6288">
            <w:pPr>
              <w:numPr>
                <w:ilvl w:val="0"/>
                <w:numId w:val="21"/>
              </w:numPr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</w:rPr>
              <w:lastRenderedPageBreak/>
              <w:t>Nyilatkozat: illeszkedés a helyi önkormányzat szociális szolgáltatástervezési koncepciójához/támogató önkormányzati döntés.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</w:rPr>
              <w:t>Kiegészítő magyarázó információk a szociális szolgáltatástervezési koncepcióra vonatkozóan: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</w:rPr>
              <w:t>A szociális igazgatásról és szociális ellátásokról szóló 1993. évi III. törvény 92.§ (3) bekezdése értelmében: „A legalább kétezer lakosú települési önkormányzat a településen, fővárosban élő szociálisan rászorult személyek részére biztosítandó szolgáltatási feladatok meghatározása érdekében - jogszabályban meghatározottak szerint - szolgáltatástervezési koncepciót készít. Amennyiben a települések egyes szociális feladataikat társulás keretében látják el, e szolgáltatások tekintetében a szolgáltatástervezési koncepciót a társulás készíti el.”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A szolgáltatástervezési koncepció tartalmára vonatkozó jogszabályi meghatározásokat a személyes gondoskodást nyújtó szociális intézmények szakmai feladatairól és működésük feltételeiről szóló 1/2000. (I. 7.) </w:t>
            </w:r>
            <w:proofErr w:type="spellStart"/>
            <w:r w:rsidRPr="00CA6288"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</w:rPr>
              <w:t>SzCsM</w:t>
            </w:r>
            <w:proofErr w:type="spellEnd"/>
            <w:r w:rsidRPr="00CA6288"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 rendelet 111/A. §</w:t>
            </w:r>
            <w:proofErr w:type="spellStart"/>
            <w:r w:rsidRPr="00CA6288"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</w:rPr>
              <w:t>-a</w:t>
            </w:r>
            <w:proofErr w:type="spellEnd"/>
            <w:r w:rsidRPr="00CA6288"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 tartalmazza.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„Nem felelt meg” minősítés esetén a támogatási kérelem elutasításra kerül.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„Nem releváns” minősítés: ha </w:t>
            </w:r>
            <w:r w:rsidRPr="00CA628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a projekt nem tartalmazza </w:t>
            </w:r>
            <w:r w:rsidRPr="00CA6288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</w:rPr>
              <w:t>szociális alapellátás és/vagy gyermekjóléti alapellátás f</w:t>
            </w:r>
            <w:r w:rsidRPr="00CA6288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u-HU"/>
              </w:rPr>
              <w:t>érőhelybővítését/új szolgáltatás létrehozását.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  <w:t>Szociális alapszolgáltatás és gyermekjóléti alapellátás esetében a projektben nem kerül sor tartós bentlakást nyújtó gondozóintézmények építésére, felújítására vagy fejlesztésére.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Vizsgálandó, hogy a projektben</w:t>
            </w:r>
            <w:r w:rsidRPr="00CA62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6288"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  <w:t>szociális alapszolgáltatás és gyermekjóléti alapellátás főtevékenység esetében nem kerül sor tartós bentlakást nyújtó gondozóintézmények építésére, felújítására vagy fejlesztésére.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„Nem releváns” minősítés: ha a projektben nem tervezett szociális alapszolgáltatás és gyermekjóléti alapellátás fejlesztése.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  <w:t>A szolgálati lakás fejlesztése indokolt, kizárólag lakófunkció fejlesztésére szolgál, és nem jelenti a projekt elsődleges célját, kizárólag kiegészítő jellegű.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  <w:t>A szolgálati lakás beruházás csak kiegészítő jelleggel önállóan nem támogatható, választható tevékenységként és korlátozott összegben támogatható. A megalapozó dokumentum és a Projekt adatalap alapján szükséges vizsgálni a tevékenység megvalósításának indokoltságát és a költségkorlátnak való megfelelést.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lastRenderedPageBreak/>
              <w:t>„Nem releváns” minősítés: ha a projektben nem tervezett szolgálati lakás fejlesztése.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  <w:t>Háziorvosi ellátás fejlesztése esetén a fejlesztendő háziorvosi szolgálat adott ellátási körzetébe tartozó betegek száma eléri: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  <w:t>a) felnőtt háziorvosi praxis esetén a 900 főt,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  <w:t>b) házi gyermekorvosi praxis esetén a 300 főt,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  <w:t>c) vegyes háziorvosi praxis esetében az ellátási körzetbe tartozó felnőtt és gyermek létszám együttesen a 900 főt.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  <w:t>Vizsgálandó, hogy a háziorvosi rendelő fejlesztése esetén a fejlesztendő háziorvosi szolgálat adott ellátási körzetébe tartozó betegek száma eléri-e a minimum létszámot.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Az ellátott betegek száma esetében kizárólag az ellátási körzetbe tartozó, NEAK által igazolt ellátandó lakosságszám vehető figyelembe, melyet az „Összesítés a fejlesztéssel érintett egységek működési engedélyéről, a fejlesztéssel érintett közfinanszírozott kapacitásokról – egészségügyi alapellátás” c. projekt dokumentáció „Ellátási körzet lakosságszáma (fő)” c. oszlop alapján szükséges igazolni.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„Nem releváns” minősítés: ha a projektben nem tervezett háziorvosi szolgálat fejlesztése.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mbria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Betöltetlen szolgálat, praxis fejlesztése esetén a támogatást igénylő vállalja a fejlesztett szolgálat, praxis betöltésére irányulóan intézkedési terv készítését és végrehajtásának rendszeres bemutatását.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 kedvezményezettnek a fejlesztendő szolgálat, praxis betöltésére irányulóan intézkedési tervet kell készítenie az első mérföldkőig, és annak végrehajtását be kell mutatnia a második mérföldkőnél, illetve releváns esetben (ha a praxis/szolgálat nem kerül betöltésre a második mérföldkőig) a projekt fenntartási jelentésekben.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Az értékelés során vizsgálandó:</w:t>
            </w:r>
          </w:p>
          <w:p w:rsidR="00CA6288" w:rsidRPr="00CA6288" w:rsidRDefault="00CA6288" w:rsidP="00CA6288">
            <w:pPr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</w:rPr>
              <w:t>a megalapozó dokumentum értékelési szemponthoz kapcsolódó pontjai,</w:t>
            </w:r>
          </w:p>
          <w:p w:rsidR="00CA6288" w:rsidRPr="00CA6288" w:rsidRDefault="00CA6288" w:rsidP="00CA6288">
            <w:pPr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ind w:left="497"/>
              <w:contextualSpacing/>
              <w:jc w:val="both"/>
              <w:rPr>
                <w:rFonts w:ascii="Calibri" w:eastAsia="Calibri" w:hAnsi="Calibri" w:cs="Arial"/>
                <w:b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</w:rPr>
              <w:t>a Projekt adatlap Mérföldkövek pontja.</w:t>
            </w:r>
          </w:p>
          <w:p w:rsidR="00CA6288" w:rsidRPr="00CA6288" w:rsidRDefault="00CA6288" w:rsidP="00CA6288">
            <w:pPr>
              <w:widowControl w:val="0"/>
              <w:suppressAutoHyphens/>
              <w:spacing w:after="0" w:line="240" w:lineRule="auto"/>
              <w:ind w:left="497"/>
              <w:contextualSpacing/>
              <w:jc w:val="both"/>
              <w:rPr>
                <w:rFonts w:ascii="Calibri" w:eastAsia="Calibri" w:hAnsi="Calibri" w:cs="Arial"/>
                <w:b/>
              </w:rPr>
            </w:pPr>
          </w:p>
          <w:p w:rsidR="00CA6288" w:rsidRPr="00CA6288" w:rsidRDefault="00CA6288" w:rsidP="00CA6288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„Nem releváns” minősítés: ha a projekt nem tartalmazza betöltetlen praxis, szolgálat fejlesztését.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Az egészségügyi alapellátás fejlesztése esetén a támogatást igénylő a projektben vizsgálja, hogy a többi ágazathoz tartozó közszolgáltatásokkal való hatékonyabb együttműködést, a szolgáltatások költséghatékonyságának és minőségének javítását miként segíti elő a fejlesztés.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 megalapozó dokumentum, valamint a projektdokumentáció alapján szükséges vizsgálni a kritériumnak való megfelelést.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CA6288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„Nem releváns” minősítés: ha a projektben nem tervezett egészségügyi alapellátás fejlesztése.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Partnerség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theme="minorHAnsi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 megfelelő partnerségi kör bevonás, egyeztetés megtörtént, megfelelően tervezett az együttműködés.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20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Vizsgálni szükséges, hogy a projekt céljainak elérése érdekében megfelelően felmérésre került-e a lehetséges partnerek köre és bevonásuk megtörtént-e.</w:t>
            </w:r>
          </w:p>
          <w:p w:rsidR="00CA6288" w:rsidRPr="00CA6288" w:rsidRDefault="00CA6288" w:rsidP="00CA6288">
            <w:pPr>
              <w:spacing w:after="20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Nem csak a konzorciumi együttműködés, hanem az egyéb szakmai együttműködés is elfogadható. </w:t>
            </w:r>
          </w:p>
          <w:p w:rsidR="00CA6288" w:rsidRPr="00CA6288" w:rsidRDefault="00CA6288" w:rsidP="00CA6288">
            <w:pPr>
              <w:spacing w:beforeLines="60" w:before="144" w:afterLines="60" w:after="144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hu-HU"/>
              </w:rPr>
            </w:pPr>
            <w:r w:rsidRPr="00CA6288">
              <w:rPr>
                <w:rFonts w:ascii="Arial" w:eastAsia="Times New Roman" w:hAnsi="Arial" w:cs="Arial"/>
                <w:sz w:val="20"/>
                <w:szCs w:val="24"/>
                <w:lang w:eastAsia="hu-HU"/>
              </w:rPr>
              <w:t>Nem elvárás, hogy minden lehetséges partner bevonása a támogatási kérelem benyújtásáig megtörténjen, azonban a megalapozó dokumentumban szükséges a partnerek körének felmérése és tervezett bevonásuk bemutatása.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CA6288" w:rsidRPr="00CA6288" w:rsidRDefault="00CA6288" w:rsidP="00CA6288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CA6288" w:rsidRPr="00CA6288" w:rsidTr="00C5795A">
        <w:trPr>
          <w:trHeight w:val="236"/>
        </w:trPr>
        <w:tc>
          <w:tcPr>
            <w:tcW w:w="13255" w:type="dxa"/>
            <w:gridSpan w:val="5"/>
            <w:shd w:val="clear" w:color="auto" w:fill="D9D9D9" w:themeFill="background1" w:themeFillShade="D9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Előnyben részesítést biztosító szempontok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Költséghatékonyság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CA6288">
              <w:rPr>
                <w:rFonts w:ascii="Arial" w:hAnsi="Arial" w:cstheme="minorHAnsi"/>
                <w:sz w:val="20"/>
                <w:szCs w:val="20"/>
              </w:rPr>
              <w:t>A projekt „</w:t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TPO01 Fejlesztéssel érintett egészségügyi alapellátást nyújtó szolgálatok (benne: háziorvos, házi gyermekorvos, fogorvosi, védőnői szolgálat és kapcsolódó ügyeleti ellátás, iskola-egészségügyi ellátás) száma</w:t>
            </w:r>
            <w:r w:rsidRPr="00CA6288">
              <w:rPr>
                <w:rFonts w:ascii="Arial" w:hAnsi="Arial" w:cstheme="minorHAnsi"/>
                <w:sz w:val="20"/>
                <w:szCs w:val="20"/>
              </w:rPr>
              <w:t xml:space="preserve">” c. indikátor OP </w:t>
            </w:r>
            <w:r w:rsidRPr="00CA6288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célérték teljesüléséhez való hozzájárulásának mértéke forrásarányos módon tervezett.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ind w:left="-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sz w:val="20"/>
                <w:szCs w:val="20"/>
              </w:rPr>
              <w:t>Megfelelt</w:t>
            </w:r>
            <w:r w:rsidRPr="00CA6288">
              <w:rPr>
                <w:rFonts w:ascii="Arial" w:hAnsi="Arial" w:cs="Arial"/>
                <w:sz w:val="20"/>
                <w:szCs w:val="20"/>
              </w:rPr>
              <w:t xml:space="preserve">: Amennyiben a projektben a </w:t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TPO01 </w:t>
            </w:r>
            <w:r w:rsidRPr="00CA6288">
              <w:rPr>
                <w:rFonts w:ascii="Arial" w:hAnsi="Arial" w:cs="Arial"/>
                <w:sz w:val="20"/>
                <w:szCs w:val="20"/>
              </w:rPr>
              <w:t xml:space="preserve">indikátorra tett célérték vállalás esetében az 1 szolgálatra eső támogatási kérelem </w:t>
            </w:r>
            <w:proofErr w:type="spellStart"/>
            <w:r w:rsidRPr="00CA6288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CA6288">
              <w:rPr>
                <w:rFonts w:ascii="Arial" w:hAnsi="Arial" w:cs="Arial"/>
                <w:sz w:val="20"/>
                <w:szCs w:val="20"/>
              </w:rPr>
              <w:t xml:space="preserve"> igényelt támogatási összeg 38 000 </w:t>
            </w:r>
            <w:proofErr w:type="spellStart"/>
            <w:r w:rsidRPr="00CA6288">
              <w:rPr>
                <w:rFonts w:ascii="Arial" w:hAnsi="Arial" w:cs="Arial"/>
                <w:sz w:val="20"/>
                <w:szCs w:val="20"/>
              </w:rPr>
              <w:t>000</w:t>
            </w:r>
            <w:proofErr w:type="spellEnd"/>
            <w:r w:rsidRPr="00CA6288">
              <w:rPr>
                <w:rFonts w:ascii="Arial" w:hAnsi="Arial" w:cs="Arial"/>
                <w:sz w:val="20"/>
                <w:szCs w:val="20"/>
              </w:rPr>
              <w:t> Ft vagy az alatti az „</w:t>
            </w:r>
            <w:r w:rsidRPr="00CA6288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Egészségügyi alapellátás fejlesztése</w:t>
            </w:r>
            <w:r w:rsidRPr="00CA6288">
              <w:rPr>
                <w:rFonts w:ascii="Arial" w:hAnsi="Arial" w:cs="Arial"/>
                <w:sz w:val="20"/>
                <w:szCs w:val="20"/>
              </w:rPr>
              <w:t>” főtevékenységre betervezett költséghez viszonyítottan.</w:t>
            </w:r>
          </w:p>
          <w:p w:rsidR="00CA6288" w:rsidRPr="00CA6288" w:rsidRDefault="00CA6288" w:rsidP="00CA6288">
            <w:pPr>
              <w:spacing w:after="0" w:line="240" w:lineRule="auto"/>
              <w:ind w:left="-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sz w:val="20"/>
                <w:szCs w:val="20"/>
              </w:rPr>
              <w:t>Részben megfelelt</w:t>
            </w:r>
            <w:r w:rsidRPr="00CA6288">
              <w:rPr>
                <w:rFonts w:ascii="Arial" w:hAnsi="Arial" w:cs="Arial"/>
                <w:sz w:val="20"/>
                <w:szCs w:val="20"/>
              </w:rPr>
              <w:t xml:space="preserve">: Amennyiben a projektben a </w:t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TPO01 </w:t>
            </w:r>
            <w:r w:rsidRPr="00CA6288">
              <w:rPr>
                <w:rFonts w:ascii="Arial" w:hAnsi="Arial" w:cs="Arial"/>
                <w:sz w:val="20"/>
                <w:szCs w:val="20"/>
              </w:rPr>
              <w:t xml:space="preserve">indikátorra tett célérték vállalás esetében az 1 szolgálatra eső támogatási kérelem </w:t>
            </w:r>
            <w:proofErr w:type="spellStart"/>
            <w:r w:rsidRPr="00CA6288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CA6288">
              <w:rPr>
                <w:rFonts w:ascii="Arial" w:hAnsi="Arial" w:cs="Arial"/>
                <w:sz w:val="20"/>
                <w:szCs w:val="20"/>
              </w:rPr>
              <w:t xml:space="preserve"> igényelt támogatási összeg 38 000 </w:t>
            </w:r>
            <w:proofErr w:type="spellStart"/>
            <w:r w:rsidRPr="00CA6288">
              <w:rPr>
                <w:rFonts w:ascii="Arial" w:hAnsi="Arial" w:cs="Arial"/>
                <w:sz w:val="20"/>
                <w:szCs w:val="20"/>
              </w:rPr>
              <w:t>000</w:t>
            </w:r>
            <w:proofErr w:type="spellEnd"/>
            <w:r w:rsidRPr="00CA6288">
              <w:rPr>
                <w:rFonts w:ascii="Arial" w:hAnsi="Arial" w:cs="Arial"/>
                <w:sz w:val="20"/>
                <w:szCs w:val="20"/>
              </w:rPr>
              <w:t> Ft – 48 200 000 Ft közötti az „</w:t>
            </w:r>
            <w:r w:rsidRPr="00CA6288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Egészségügyi alapellátás fejlesztése</w:t>
            </w:r>
            <w:r w:rsidRPr="00CA6288">
              <w:rPr>
                <w:rFonts w:ascii="Arial" w:hAnsi="Arial" w:cs="Arial"/>
                <w:sz w:val="20"/>
                <w:szCs w:val="20"/>
              </w:rPr>
              <w:t>” főtevékenységre betervezett költséghez viszonyítottan.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sz w:val="20"/>
                <w:szCs w:val="20"/>
              </w:rPr>
              <w:t>Nem felelt meg:</w:t>
            </w:r>
            <w:r w:rsidRPr="00CA6288">
              <w:rPr>
                <w:rFonts w:ascii="Arial" w:hAnsi="Arial" w:cs="Arial"/>
                <w:sz w:val="20"/>
                <w:szCs w:val="20"/>
              </w:rPr>
              <w:t xml:space="preserve"> Amennyiben a projektben a </w:t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TPO01 </w:t>
            </w:r>
            <w:r w:rsidRPr="00CA6288">
              <w:rPr>
                <w:rFonts w:ascii="Arial" w:hAnsi="Arial" w:cs="Arial"/>
                <w:sz w:val="20"/>
                <w:szCs w:val="20"/>
              </w:rPr>
              <w:t xml:space="preserve">indikátorra tett célérték vállalás esetében az 1 szolgálatra eső támogatási kérelem </w:t>
            </w:r>
            <w:proofErr w:type="spellStart"/>
            <w:r w:rsidRPr="00CA6288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CA6288">
              <w:rPr>
                <w:rFonts w:ascii="Arial" w:hAnsi="Arial" w:cs="Arial"/>
                <w:sz w:val="20"/>
                <w:szCs w:val="20"/>
              </w:rPr>
              <w:t xml:space="preserve"> igényelt támogatási összeg 48 200 000 Ft vagy afeletti az „</w:t>
            </w:r>
            <w:r w:rsidRPr="00CA6288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Egészségügyi alapellátás fejlesztése</w:t>
            </w:r>
            <w:r w:rsidRPr="00CA6288">
              <w:rPr>
                <w:rFonts w:ascii="Arial" w:hAnsi="Arial" w:cs="Arial"/>
                <w:sz w:val="20"/>
                <w:szCs w:val="20"/>
              </w:rPr>
              <w:t>” főtevékenységre betervezett költséghez viszonyítottan.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projekt a kedvezményezett járások besorolásáról szóló </w:t>
            </w:r>
            <w:r w:rsidRPr="00CA6288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br/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290/2014 (XI.26) Kormányrendelet értelmében kedvezményezett, fejlesztendő </w:t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vagy komplex programmal fejlesztendő járásban valósul meg.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Az</w:t>
            </w: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értékelés vizsgálata </w:t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290/2014. (XI. 26.) Korm. rendelet 3. sz. melléklete alapján történik: </w:t>
            </w:r>
            <w:hyperlink r:id="rId7" w:history="1">
              <w:r w:rsidRPr="00CA6288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http://njt.hu</w:t>
              </w:r>
            </w:hyperlink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Nem felelt meg:</w:t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amennyiben a fejlesztés helyszíne a jogszabállyal nem érintett járás területén valósul meg.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Részben megfelelt:</w:t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amennyiben a fejlesztés kedvezményezett járás / fejlesztendő járás területén valósul meg.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Megfelelt:</w:t>
            </w: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amennyiben a fejlesztés komplex programmal fejlesztendő járás területén valósul meg.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Amennyiben a projekt több járás közigazgatási területét érinti, úgy minden érintett járás figyelembe vehető és már egy járás érintettsége esetén részben megfelelt/</w:t>
            </w:r>
            <w:proofErr w:type="spellStart"/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>megfelelt</w:t>
            </w:r>
            <w:proofErr w:type="spellEnd"/>
            <w:r w:rsidRPr="00CA62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minősítés adható. Amennyiben több járás érintett, melyek eltérő kategóriába tartoznak, az adott projekt szempontjából releváns legmagasabb kategóriát szükséges figyelembe venni.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Integráltság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CA628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 projekt több önállóan támogatható tevékenységre terjed ki</w:t>
            </w:r>
            <w:r w:rsidRPr="00CA6288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 xml:space="preserve"> és </w:t>
            </w:r>
            <w:r w:rsidRPr="00CA628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választható, önállóan nem támogatható tevékenységet is tartalmaz.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theme="minorHAnsi"/>
                <w:sz w:val="20"/>
                <w:szCs w:val="20"/>
              </w:rPr>
            </w:pPr>
            <w:r w:rsidRPr="00CA6288">
              <w:rPr>
                <w:rFonts w:ascii="Arial" w:hAnsi="Arial" w:cstheme="minorHAnsi"/>
                <w:b/>
                <w:sz w:val="20"/>
                <w:szCs w:val="20"/>
              </w:rPr>
              <w:t>Megfelelt</w:t>
            </w:r>
            <w:r w:rsidRPr="00CA6288">
              <w:rPr>
                <w:rFonts w:ascii="Arial" w:hAnsi="Arial" w:cstheme="minorHAnsi"/>
                <w:sz w:val="20"/>
                <w:szCs w:val="20"/>
              </w:rPr>
              <w:t>: a projekt egynél több önállóan támogatható tevékenységet és legalább egy választható, önállóan nem támogatható tevékenységet tartalmaz.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theme="minorHAnsi"/>
                <w:sz w:val="20"/>
                <w:szCs w:val="20"/>
              </w:rPr>
            </w:pPr>
            <w:r w:rsidRPr="00CA6288">
              <w:rPr>
                <w:rFonts w:ascii="Arial" w:hAnsi="Arial" w:cstheme="minorHAnsi"/>
                <w:b/>
                <w:sz w:val="20"/>
                <w:szCs w:val="20"/>
              </w:rPr>
              <w:t>Részben megfelelt:</w:t>
            </w:r>
            <w:r w:rsidRPr="00CA6288">
              <w:rPr>
                <w:rFonts w:ascii="Arial" w:hAnsi="Arial" w:cstheme="minorHAnsi"/>
                <w:sz w:val="20"/>
                <w:szCs w:val="20"/>
              </w:rPr>
              <w:t xml:space="preserve"> a projekt csak egy önállóan támogatható tevékenységet és legalább egy választható, önállóan nem támogatható tevékenységet tartalmaz.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theme="minorHAnsi"/>
                <w:b/>
                <w:sz w:val="20"/>
                <w:szCs w:val="20"/>
              </w:rPr>
              <w:t>Nem felelt meg:</w:t>
            </w:r>
            <w:r w:rsidRPr="00CA6288">
              <w:rPr>
                <w:rFonts w:ascii="Arial" w:hAnsi="Arial" w:cstheme="minorHAnsi"/>
                <w:sz w:val="20"/>
                <w:szCs w:val="20"/>
              </w:rPr>
              <w:t xml:space="preserve"> fejlesztés csak egy önállóan támogatható tevékenységet tartalmaz választható, önállóan nem támogatható tevékenység nélkül.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CA6288" w:rsidRPr="00CA6288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CA6288" w:rsidRPr="00CA6288" w:rsidRDefault="00CA6288" w:rsidP="00CA62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93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A62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Szinergia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6288" w:rsidRPr="00CA6288" w:rsidRDefault="00CA6288" w:rsidP="00CA6288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</w:pPr>
            <w:r w:rsidRPr="00CA6288">
              <w:rPr>
                <w:rFonts w:ascii="Arial" w:eastAsia="Times New Roman" w:hAnsi="Arial" w:cs="Arial"/>
                <w:sz w:val="19"/>
                <w:szCs w:val="19"/>
                <w:lang w:eastAsia="hu-HU"/>
              </w:rPr>
              <w:t xml:space="preserve">A projekt kapcsolódik uniós vagy hazai forrásból támogatott fejlesztésekhez </w:t>
            </w:r>
            <w:r w:rsidRPr="00CA628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és az adott Vármegyei Esélyteremtő Paktum </w:t>
            </w:r>
            <w:r w:rsidRPr="00CA6288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vármegyei szolgáltatáshiányokra válaszoló intézkedéseihez i</w:t>
            </w:r>
            <w:r w:rsidRPr="00CA628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lleszkedő egészségügyi/szociális szolgáltatások hozzáférhetőségét segítő tevékenységeket valósít meg</w:t>
            </w:r>
            <w:r w:rsidRPr="00CA6288">
              <w:rPr>
                <w:rFonts w:ascii="Arial" w:eastAsia="Times New Roman" w:hAnsi="Arial" w:cs="Arial"/>
                <w:sz w:val="19"/>
                <w:szCs w:val="19"/>
                <w:lang w:eastAsia="hu-HU"/>
              </w:rPr>
              <w:t>.</w:t>
            </w:r>
          </w:p>
        </w:tc>
        <w:tc>
          <w:tcPr>
            <w:tcW w:w="38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sz w:val="20"/>
                <w:szCs w:val="20"/>
              </w:rPr>
              <w:t>Megfelelt</w:t>
            </w:r>
            <w:r w:rsidRPr="00CA6288">
              <w:rPr>
                <w:rFonts w:ascii="Arial" w:hAnsi="Arial" w:cs="Arial"/>
                <w:sz w:val="20"/>
                <w:szCs w:val="20"/>
              </w:rPr>
              <w:t>: Amennyiben a projekt közvetlenül kapcsolódik:</w:t>
            </w:r>
          </w:p>
          <w:p w:rsidR="00CA6288" w:rsidRPr="00CA6288" w:rsidRDefault="00CA6288" w:rsidP="00CA6288">
            <w:pPr>
              <w:numPr>
                <w:ilvl w:val="0"/>
                <w:numId w:val="21"/>
              </w:numPr>
              <w:spacing w:after="0" w:line="240" w:lineRule="auto"/>
              <w:ind w:left="35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</w:rPr>
              <w:t xml:space="preserve">uniós vagy hazai forrásból támogatott fejlesztésekhez is (pl.: a korábban fejlesztéssel érintett épületben további férőhelybővítésre / eszközbeszerzésre kerül sor); </w:t>
            </w:r>
            <w:r w:rsidRPr="00CA6288">
              <w:rPr>
                <w:rFonts w:ascii="Arial" w:eastAsia="Calibri" w:hAnsi="Arial" w:cs="Arial"/>
                <w:b/>
                <w:sz w:val="20"/>
                <w:szCs w:val="20"/>
              </w:rPr>
              <w:t>ÉS</w:t>
            </w:r>
          </w:p>
          <w:p w:rsidR="00CA6288" w:rsidRPr="00CA6288" w:rsidRDefault="00CA6288" w:rsidP="00CA6288">
            <w:pPr>
              <w:numPr>
                <w:ilvl w:val="0"/>
                <w:numId w:val="21"/>
              </w:numPr>
              <w:spacing w:after="0" w:line="240" w:lineRule="auto"/>
              <w:ind w:left="35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</w:rPr>
              <w:t>az adott Vármegyei Esélyteremtő Paktum vármegyei szolgáltatáshiányokra válaszoló intézkedéseihez (Szolgáltatási Út Térképhez) illeszkedő egészségügyi/szociális szolgáltatások hozzáférhetőségét segítő tevékenységekhez.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sz w:val="20"/>
                <w:szCs w:val="20"/>
              </w:rPr>
              <w:t>Részben megfelelt:</w:t>
            </w:r>
            <w:r w:rsidRPr="00CA6288">
              <w:rPr>
                <w:rFonts w:ascii="Arial" w:hAnsi="Arial" w:cs="Arial"/>
                <w:sz w:val="20"/>
                <w:szCs w:val="20"/>
              </w:rPr>
              <w:t xml:space="preserve"> Amennyiben a projekt:</w:t>
            </w:r>
          </w:p>
          <w:p w:rsidR="00CA6288" w:rsidRPr="00CA6288" w:rsidRDefault="00CA6288" w:rsidP="00CA6288">
            <w:pPr>
              <w:numPr>
                <w:ilvl w:val="0"/>
                <w:numId w:val="21"/>
              </w:numPr>
              <w:spacing w:after="0" w:line="240" w:lineRule="auto"/>
              <w:ind w:left="35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</w:rPr>
              <w:t xml:space="preserve">közvetetten kapcsolódik uniós vagy hazai forrásból támogatott fejlesztésekhez. (Pl.: a fejlesztéssel érintett épület/épületrész </w:t>
            </w:r>
            <w:r w:rsidRPr="00CA6288">
              <w:rPr>
                <w:rFonts w:ascii="Arial" w:eastAsia="Arial" w:hAnsi="Arial" w:cs="Arial"/>
                <w:sz w:val="20"/>
                <w:szCs w:val="20"/>
                <w:lang w:val="hu"/>
              </w:rPr>
              <w:t xml:space="preserve">közvetlen környezetében [közvetlenül határos telken] közterület beruházásra kerül sor (pl.: út vagy kerékpárút építés/fejlesztés az elérhetőség segítésére, közlekedésbiztonság elősegítése, vagy park-, játszótérfejlesztés)); </w:t>
            </w:r>
            <w:r w:rsidRPr="00CA6288">
              <w:rPr>
                <w:rFonts w:ascii="Arial" w:eastAsia="Arial" w:hAnsi="Arial" w:cs="Arial"/>
                <w:b/>
                <w:sz w:val="20"/>
                <w:szCs w:val="20"/>
                <w:lang w:val="hu"/>
              </w:rPr>
              <w:t>ÉS</w:t>
            </w:r>
          </w:p>
          <w:p w:rsidR="00CA6288" w:rsidRPr="00CA6288" w:rsidRDefault="00CA6288" w:rsidP="00CA6288">
            <w:pPr>
              <w:numPr>
                <w:ilvl w:val="0"/>
                <w:numId w:val="21"/>
              </w:numPr>
              <w:spacing w:after="0" w:line="240" w:lineRule="auto"/>
              <w:ind w:left="35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A6288">
              <w:rPr>
                <w:rFonts w:ascii="Arial" w:eastAsia="Arial" w:hAnsi="Arial" w:cs="Arial"/>
                <w:sz w:val="20"/>
                <w:szCs w:val="20"/>
                <w:lang w:val="hu"/>
              </w:rPr>
              <w:t xml:space="preserve">közvetlenül kapcsolódik a </w:t>
            </w:r>
            <w:r w:rsidRPr="00CA6288">
              <w:rPr>
                <w:rFonts w:ascii="Arial" w:eastAsia="Calibri" w:hAnsi="Arial" w:cs="Arial"/>
                <w:sz w:val="20"/>
                <w:szCs w:val="20"/>
              </w:rPr>
              <w:t xml:space="preserve">Vármegyei Esélyteremtő Paktum vármegyei szolgáltatáshiányokra válaszoló intézkedéseihez (Szolgáltatási Út Térképhez) illeszkedő egészségügyi/szociális </w:t>
            </w:r>
            <w:r w:rsidRPr="00CA6288">
              <w:rPr>
                <w:rFonts w:ascii="Arial" w:eastAsia="Calibri" w:hAnsi="Arial" w:cs="Arial"/>
                <w:sz w:val="20"/>
                <w:szCs w:val="20"/>
              </w:rPr>
              <w:lastRenderedPageBreak/>
              <w:t>szolgáltatások hozzáférhetőségét segítő tevékenységekhez.</w:t>
            </w:r>
          </w:p>
          <w:p w:rsidR="00CA6288" w:rsidRPr="00CA6288" w:rsidRDefault="00CA6288" w:rsidP="00CA6288">
            <w:pPr>
              <w:spacing w:after="0" w:line="240" w:lineRule="auto"/>
              <w:ind w:left="-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288">
              <w:rPr>
                <w:rFonts w:ascii="Arial" w:hAnsi="Arial" w:cs="Arial"/>
                <w:b/>
                <w:sz w:val="20"/>
                <w:szCs w:val="20"/>
              </w:rPr>
              <w:t>Nem felelt meg:</w:t>
            </w:r>
            <w:r w:rsidRPr="00CA6288">
              <w:rPr>
                <w:rFonts w:ascii="Arial" w:hAnsi="Arial" w:cs="Arial"/>
                <w:sz w:val="20"/>
                <w:szCs w:val="20"/>
              </w:rPr>
              <w:t xml:space="preserve"> Amennyiben a projekt:</w:t>
            </w:r>
          </w:p>
          <w:p w:rsidR="00CA6288" w:rsidRPr="00CA6288" w:rsidRDefault="00CA6288" w:rsidP="00CA6288">
            <w:pPr>
              <w:numPr>
                <w:ilvl w:val="0"/>
                <w:numId w:val="21"/>
              </w:numPr>
              <w:spacing w:after="0" w:line="240" w:lineRule="auto"/>
              <w:ind w:left="35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sz w:val="20"/>
                <w:szCs w:val="20"/>
              </w:rPr>
              <w:t xml:space="preserve">közvetlenül és közvetetten sem kapcsolódik egyéb uniós vagy hazai forrásból támogatott fejlesztéshez; </w:t>
            </w:r>
            <w:r w:rsidRPr="00CA6288">
              <w:rPr>
                <w:rFonts w:ascii="Arial" w:eastAsia="Calibri" w:hAnsi="Arial" w:cs="Arial"/>
                <w:b/>
                <w:sz w:val="20"/>
                <w:szCs w:val="20"/>
              </w:rPr>
              <w:t>ÉS/VAGY</w:t>
            </w:r>
          </w:p>
          <w:p w:rsidR="00CA6288" w:rsidRPr="00CA6288" w:rsidRDefault="00CA6288" w:rsidP="00CA6288">
            <w:pPr>
              <w:numPr>
                <w:ilvl w:val="0"/>
                <w:numId w:val="21"/>
              </w:numPr>
              <w:spacing w:after="0" w:line="240" w:lineRule="auto"/>
              <w:ind w:left="35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A6288">
              <w:rPr>
                <w:rFonts w:ascii="Arial" w:eastAsia="Arial" w:hAnsi="Arial" w:cs="Arial"/>
                <w:sz w:val="20"/>
                <w:szCs w:val="20"/>
                <w:lang w:val="hu"/>
              </w:rPr>
              <w:t xml:space="preserve">közvetlenül nem kapcsolódik a </w:t>
            </w:r>
            <w:r w:rsidRPr="00CA6288">
              <w:rPr>
                <w:rFonts w:ascii="Arial" w:eastAsia="Calibri" w:hAnsi="Arial" w:cs="Arial"/>
                <w:sz w:val="20"/>
                <w:szCs w:val="20"/>
              </w:rPr>
              <w:t>Vármegyei Esélyteremtő Paktum vármegyei szolgáltatáshiányokra válaszoló intézkedéseihez (Szolgáltatási Út Térképhez) illeszkedő egészségügyi/szociális szolgáltatások hozzáférhetőségét segítő tevékenységekhez.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288">
              <w:rPr>
                <w:rFonts w:ascii="Arial" w:hAnsi="Arial" w:cs="Arial"/>
                <w:sz w:val="20"/>
                <w:szCs w:val="20"/>
              </w:rPr>
              <w:t>Uniós vagy hazai forrásból támogatott fejlesztéshez való közvetlen és közvetett kapcsolódás alatt a hatályos támogatási szerződéssel rendelkező és/vagy megvalósult projektek értendők. A megalapozó dokumentumban szükséges bemutatni a szempontnak való megfelelést a kapcsolódó projekt rövid bemutatásával és projekt azonosítójának megadásával.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288">
              <w:rPr>
                <w:rFonts w:ascii="Arial" w:hAnsi="Arial" w:cs="Arial"/>
                <w:sz w:val="20"/>
                <w:szCs w:val="20"/>
              </w:rPr>
              <w:t>Amennyiben a projekt több épület/épületrész/szolgáltatás/ellátás fejlesztését érinti, legalább az egyik fejlesztéssel érintett épület/épületrész/szolgáltatás/ellátás esetében a kapcsolódásnak megállapíthatónak kell lennie.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theme="minorHAnsi"/>
                <w:color w:val="FF0000"/>
                <w:sz w:val="20"/>
                <w:szCs w:val="20"/>
              </w:rPr>
            </w:pPr>
            <w:r w:rsidRPr="00CA6288">
              <w:rPr>
                <w:rFonts w:ascii="Arial" w:hAnsi="Arial" w:cs="Arial"/>
                <w:sz w:val="20"/>
                <w:szCs w:val="20"/>
              </w:rPr>
              <w:lastRenderedPageBreak/>
              <w:t xml:space="preserve">A Szolgáltatási Út Térképhez (SZÚT) való illeszkedést a támogatási kérelem benyújtásakor rendelkezésre álló SZÚT alapján kerül vizsgálatra. Amennyiben az adott Vármegyei Esélyteremtő Paktum és kapcsolódó Szolgáltatási Út Térkép felülvizsgálatára időközben sor került, </w:t>
            </w:r>
            <w:proofErr w:type="gramStart"/>
            <w:r w:rsidRPr="00CA6288">
              <w:rPr>
                <w:rFonts w:ascii="Arial" w:hAnsi="Arial" w:cs="Arial"/>
                <w:sz w:val="20"/>
                <w:szCs w:val="20"/>
              </w:rPr>
              <w:t>ezen</w:t>
            </w:r>
            <w:proofErr w:type="gramEnd"/>
            <w:r w:rsidRPr="00CA6288">
              <w:rPr>
                <w:rFonts w:ascii="Arial" w:hAnsi="Arial" w:cs="Arial"/>
                <w:sz w:val="20"/>
                <w:szCs w:val="20"/>
              </w:rPr>
              <w:t xml:space="preserve"> dokumentumokhoz való illeszkedés a felülvizsgálatot követően benyújtott támogatási kérelmek esetében fogadható el.</w:t>
            </w:r>
            <w:r w:rsidRPr="00CA6288">
              <w:rPr>
                <w:rFonts w:ascii="Arial" w:hAnsi="Arial" w:cstheme="minorHAnsi"/>
                <w:color w:val="FF0000"/>
                <w:sz w:val="20"/>
                <w:szCs w:val="20"/>
              </w:rPr>
              <w:t xml:space="preserve"> 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hAnsi="Arial" w:cstheme="minorHAnsi"/>
                <w:color w:val="FF0000"/>
                <w:sz w:val="20"/>
                <w:szCs w:val="20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Vármegyei Esélyteremtő Paktum:</w:t>
            </w:r>
            <w:r w:rsidRPr="00CA628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A Megyei/Vármegyei Felzárkózási Fórum által létrehozott olyan, a Szolgáltatási Út Térképen alapuló együttműködések gyűjteménye, melyek a közreműködő szereplőknél rendelkezésre álló eszközök, szolgáltatások, intézmények stb. felhasználásával megoldásokat nyújtanak a vármegyei szinten jelentkező hiányok ellátására. A Vármegyei Esélyteremtő Paktum összefoglaló elnevezés, mely fogalomba értendőek az EFOP-1.6.3. konstrukció keretében kidolgozott, meglévő Megyei Esélyteremtő/Esélyegyenlőségi Paktumok, valamint ezek felülvizsgálataként módosított dokumentumok, valamint meglévő hiányában újonnan elkészített Vármegyei Esélyteremtő Paktum.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A6288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lastRenderedPageBreak/>
              <w:t>Szolgáltatási Út Térkép:</w:t>
            </w:r>
            <w:r w:rsidRPr="00CA628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A Megyei/Vármegyei Felzárkózási Fórumok üléseinek kimeneteként kerültek/kerülnek létrehozásra a Szolgáltatási Út Térképek, melyek célja a vármegyében meglévő szolgáltatások lakossághoz való elérésének vizsgálata, különös tekintettel a helyi szinten hiányzó szolgáltatásokra (pl.: a </w:t>
            </w:r>
            <w:proofErr w:type="spellStart"/>
            <w:r w:rsidRPr="00CA628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HEP-ekben</w:t>
            </w:r>
            <w:proofErr w:type="spellEnd"/>
            <w:r w:rsidRPr="00CA6288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beazonosított szolgáltatás hiányok alapján), és annak megoldási javaslataira. A Szolgáltatási Út Térkép összefoglaló elnevezés, mely fogalomba értendőek az EFOP-1.6.3. konstrukció keretében kidolgozott, meglévő Megyei Esélyteremtő/Esélyegyenlőségi Paktumokhoz, illetve ezek felülvizsgálataként módosított dokumentumokhoz, valamint meglévő hiányában újonnan elkészített Vármegyei Esélyteremtő Paktumhoz kapcsolódó Szolgáltatási Út Térképek.</w:t>
            </w:r>
          </w:p>
        </w:tc>
        <w:tc>
          <w:tcPr>
            <w:tcW w:w="2127" w:type="dxa"/>
            <w:vAlign w:val="center"/>
          </w:tcPr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CA6288" w:rsidRPr="00CA6288" w:rsidRDefault="00CA6288" w:rsidP="00CA628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A6288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</w:tbl>
    <w:p w:rsidR="00DD3DE7" w:rsidRDefault="00DD3DE7"/>
    <w:p w:rsidR="00CA6288" w:rsidRDefault="00CA6288"/>
    <w:p w:rsidR="00CA6288" w:rsidRDefault="00CA6288"/>
    <w:p w:rsidR="00CA6288" w:rsidRPr="00CA6288" w:rsidRDefault="00CA6288" w:rsidP="00CA6288">
      <w:pPr>
        <w:widowControl w:val="0"/>
        <w:suppressAutoHyphens/>
        <w:spacing w:before="4080" w:after="0" w:line="240" w:lineRule="auto"/>
        <w:jc w:val="center"/>
        <w:rPr>
          <w:rFonts w:ascii="Arial" w:eastAsia="DejaVu Sans" w:hAnsi="Arial" w:cs="Arial"/>
          <w:b/>
          <w:bCs/>
          <w:sz w:val="32"/>
          <w:szCs w:val="32"/>
          <w:lang w:eastAsia="hu-HU" w:bidi="hi-IN"/>
        </w:rPr>
      </w:pPr>
      <w:proofErr w:type="spellStart"/>
      <w:r w:rsidRPr="00CA6288">
        <w:rPr>
          <w:rFonts w:ascii="Arial" w:eastAsia="DejaVu Sans" w:hAnsi="Arial" w:cs="Arial"/>
          <w:b/>
          <w:bCs/>
          <w:sz w:val="32"/>
          <w:szCs w:val="32"/>
          <w:lang w:eastAsia="hu-HU" w:bidi="hi-IN"/>
        </w:rPr>
        <w:lastRenderedPageBreak/>
        <w:t>Területspecifikus</w:t>
      </w:r>
      <w:proofErr w:type="spellEnd"/>
      <w:r w:rsidRPr="00CA6288">
        <w:rPr>
          <w:rFonts w:ascii="Arial" w:eastAsia="DejaVu Sans" w:hAnsi="Arial" w:cs="Arial"/>
          <w:b/>
          <w:bCs/>
          <w:sz w:val="32"/>
          <w:szCs w:val="32"/>
          <w:lang w:eastAsia="hu-HU" w:bidi="hi-IN"/>
        </w:rPr>
        <w:t xml:space="preserve"> kiválasztási kritériumok </w:t>
      </w:r>
    </w:p>
    <w:p w:rsidR="00CA6288" w:rsidRPr="00CA6288" w:rsidRDefault="00CA6288" w:rsidP="00CA6288">
      <w:pPr>
        <w:widowControl w:val="0"/>
        <w:suppressAutoHyphens/>
        <w:spacing w:after="0" w:line="240" w:lineRule="auto"/>
        <w:jc w:val="center"/>
        <w:rPr>
          <w:rFonts w:ascii="Arial" w:eastAsia="DejaVu Sans" w:hAnsi="Arial" w:cs="Arial"/>
          <w:b/>
          <w:sz w:val="32"/>
          <w:szCs w:val="32"/>
          <w:lang w:eastAsia="zh-CN" w:bidi="hi-IN"/>
        </w:rPr>
      </w:pPr>
      <w:proofErr w:type="gramStart"/>
      <w:r w:rsidRPr="00CA6288">
        <w:rPr>
          <w:rFonts w:ascii="Arial" w:eastAsia="DejaVu Sans" w:hAnsi="Arial" w:cs="Arial"/>
          <w:b/>
          <w:sz w:val="32"/>
          <w:szCs w:val="32"/>
          <w:lang w:eastAsia="zh-CN" w:bidi="hi-IN"/>
        </w:rPr>
        <w:t>a</w:t>
      </w:r>
      <w:proofErr w:type="gramEnd"/>
      <w:r w:rsidRPr="00CA6288">
        <w:rPr>
          <w:rFonts w:ascii="Arial" w:eastAsia="DejaVu Sans" w:hAnsi="Arial" w:cs="Arial"/>
          <w:b/>
          <w:sz w:val="32"/>
          <w:szCs w:val="32"/>
          <w:lang w:eastAsia="zh-CN" w:bidi="hi-IN"/>
        </w:rPr>
        <w:t xml:space="preserve"> TOP Plusz-3.3.2-21 kódszámú,</w:t>
      </w:r>
    </w:p>
    <w:p w:rsidR="00CA6288" w:rsidRPr="00CA6288" w:rsidRDefault="00CA6288" w:rsidP="00CA6288">
      <w:pPr>
        <w:widowControl w:val="0"/>
        <w:suppressAutoHyphens/>
        <w:spacing w:after="0" w:line="240" w:lineRule="auto"/>
        <w:jc w:val="center"/>
        <w:rPr>
          <w:rFonts w:ascii="Arial" w:eastAsia="DejaVu Sans" w:hAnsi="Arial" w:cs="Arial"/>
          <w:b/>
          <w:color w:val="000000"/>
          <w:sz w:val="32"/>
          <w:szCs w:val="32"/>
          <w:lang w:eastAsia="zh-CN" w:bidi="hi-IN"/>
        </w:rPr>
      </w:pPr>
      <w:r w:rsidRPr="00CA6288">
        <w:rPr>
          <w:rFonts w:ascii="Arial" w:eastAsia="DejaVu Sans" w:hAnsi="Arial" w:cs="Arial"/>
          <w:b/>
          <w:color w:val="000000"/>
          <w:sz w:val="32"/>
          <w:szCs w:val="32"/>
          <w:lang w:eastAsia="zh-CN" w:bidi="hi-IN"/>
        </w:rPr>
        <w:t>Helyi egészségügyi és szociális infrastruktúra fejlesztése című felhívásban</w:t>
      </w:r>
    </w:p>
    <w:p w:rsidR="00960A08" w:rsidRPr="00960A08" w:rsidRDefault="00960A08" w:rsidP="00960A08">
      <w:pPr>
        <w:keepNext/>
        <w:keepLines/>
        <w:widowControl w:val="0"/>
        <w:suppressAutoHyphens/>
        <w:spacing w:before="240" w:after="240" w:line="240" w:lineRule="auto"/>
        <w:outlineLvl w:val="0"/>
        <w:rPr>
          <w:rFonts w:ascii="Arial" w:eastAsiaTheme="majorEastAsia" w:hAnsi="Arial" w:cs="Arial"/>
          <w:b/>
          <w:bCs/>
          <w:iCs/>
          <w:color w:val="2E74B5" w:themeColor="accent1" w:themeShade="BF"/>
          <w:sz w:val="20"/>
          <w:szCs w:val="20"/>
          <w:u w:val="single"/>
          <w:lang w:eastAsia="zh-CN" w:bidi="hi-IN"/>
        </w:rPr>
      </w:pPr>
      <w:bookmarkStart w:id="3" w:name="_Toc136425176"/>
      <w:r w:rsidRPr="00960A08">
        <w:rPr>
          <w:rFonts w:ascii="Arial" w:eastAsiaTheme="majorEastAsia" w:hAnsi="Arial" w:cs="Arial"/>
          <w:b/>
          <w:bCs/>
          <w:iCs/>
          <w:color w:val="2E74B5" w:themeColor="accent1" w:themeShade="BF"/>
          <w:sz w:val="20"/>
          <w:szCs w:val="20"/>
          <w:u w:val="single"/>
          <w:lang w:eastAsia="zh-CN" w:bidi="hi-IN"/>
        </w:rPr>
        <w:t>Győr-Moson-Sopron vármegye</w:t>
      </w:r>
      <w:bookmarkEnd w:id="3"/>
    </w:p>
    <w:tbl>
      <w:tblPr>
        <w:tblW w:w="5174" w:type="pct"/>
        <w:tblInd w:w="-157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3262"/>
        <w:gridCol w:w="1700"/>
        <w:gridCol w:w="8222"/>
      </w:tblGrid>
      <w:tr w:rsidR="00960A08" w:rsidRPr="00960A08" w:rsidTr="001F4FF3">
        <w:trPr>
          <w:trHeight w:val="271"/>
          <w:tblHeader/>
        </w:trPr>
        <w:tc>
          <w:tcPr>
            <w:tcW w:w="441" w:type="pct"/>
            <w:shd w:val="clear" w:color="auto" w:fill="E0E0E0"/>
            <w:noWrap/>
            <w:vAlign w:val="center"/>
          </w:tcPr>
          <w:p w:rsidR="00960A08" w:rsidRPr="00960A08" w:rsidRDefault="00960A08" w:rsidP="00960A08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shd w:val="clear" w:color="auto" w:fill="E0E0E0"/>
            <w:vAlign w:val="center"/>
            <w:hideMark/>
          </w:tcPr>
          <w:p w:rsidR="00960A08" w:rsidRPr="00960A08" w:rsidRDefault="00960A08" w:rsidP="00960A08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Értékelési szempont</w:t>
            </w:r>
          </w:p>
        </w:tc>
        <w:tc>
          <w:tcPr>
            <w:tcW w:w="587" w:type="pct"/>
            <w:shd w:val="clear" w:color="auto" w:fill="E0E0E0"/>
            <w:vAlign w:val="center"/>
            <w:hideMark/>
          </w:tcPr>
          <w:p w:rsidR="00960A08" w:rsidRPr="00960A08" w:rsidRDefault="00960A08" w:rsidP="00960A08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Adható pontszám</w:t>
            </w:r>
          </w:p>
        </w:tc>
        <w:tc>
          <w:tcPr>
            <w:tcW w:w="2844" w:type="pct"/>
            <w:shd w:val="clear" w:color="auto" w:fill="E0E0E0"/>
            <w:vAlign w:val="center"/>
          </w:tcPr>
          <w:p w:rsidR="00960A08" w:rsidRPr="00960A08" w:rsidRDefault="00960A08" w:rsidP="00960A08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Magyarázat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shd w:val="clear" w:color="auto" w:fill="E0E0E0"/>
            <w:noWrap/>
            <w:vAlign w:val="center"/>
          </w:tcPr>
          <w:p w:rsidR="00960A08" w:rsidRPr="00960A08" w:rsidRDefault="00960A08" w:rsidP="00960A08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0.</w:t>
            </w:r>
          </w:p>
        </w:tc>
        <w:tc>
          <w:tcPr>
            <w:tcW w:w="1128" w:type="pct"/>
            <w:shd w:val="clear" w:color="auto" w:fill="E0E0E0"/>
            <w:vAlign w:val="center"/>
          </w:tcPr>
          <w:p w:rsidR="00960A08" w:rsidRPr="00960A08" w:rsidRDefault="00960A08" w:rsidP="00960A08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tartalmi megfelelősége.</w:t>
            </w:r>
          </w:p>
        </w:tc>
        <w:tc>
          <w:tcPr>
            <w:tcW w:w="588" w:type="pct"/>
            <w:shd w:val="clear" w:color="auto" w:fill="E0E0E0"/>
            <w:vAlign w:val="center"/>
          </w:tcPr>
          <w:p w:rsidR="00960A08" w:rsidRPr="00960A08" w:rsidRDefault="00960A08" w:rsidP="00960A08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0-51</w:t>
            </w:r>
          </w:p>
        </w:tc>
        <w:tc>
          <w:tcPr>
            <w:tcW w:w="2843" w:type="pct"/>
            <w:shd w:val="clear" w:color="auto" w:fill="E0E0E0"/>
            <w:vAlign w:val="center"/>
          </w:tcPr>
          <w:p w:rsidR="00960A08" w:rsidRPr="00960A08" w:rsidRDefault="00960A08" w:rsidP="00960A08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általános és felhívás-specifikus szövegesen értékelt releváns</w:t>
            </w:r>
            <w:r w:rsidRPr="00960A08">
              <w:rPr>
                <w:rFonts w:ascii="Arial" w:eastAsia="DejaVu Sans" w:hAnsi="Arial" w:cs="Lohit Hindi"/>
                <w:sz w:val="20"/>
                <w:szCs w:val="24"/>
                <w:lang w:eastAsia="zh-CN" w:bidi="hi-IN"/>
              </w:rPr>
              <w:t xml:space="preserve"> kiválasztási 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kritériumok alapján</w:t>
            </w:r>
            <w:r w:rsidRPr="00960A08">
              <w:rPr>
                <w:rFonts w:ascii="Arial" w:eastAsia="DejaVu Sans" w:hAnsi="Arial" w:cs="Lohit Hindi"/>
                <w:sz w:val="20"/>
                <w:szCs w:val="24"/>
                <w:lang w:eastAsia="zh-CN" w:bidi="hi-IN"/>
              </w:rPr>
              <w:t xml:space="preserve"> elért pontszám arányos összege.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0"/>
                <w:numId w:val="27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59" w:type="pct"/>
            <w:gridSpan w:val="3"/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Hozzájárulás a megyei területfejlesztési program prioritásaihoz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8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tervezett projekt hozzájárulása a területfejlesztési program által meghatározott prioritásokhoz és az ezekhez rendelt intézkedésekhez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>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0/5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Győr-Moson-Sopron Megyei Területfejlesztési Stratégiai Program 3. Prioritások azonosítása fejezet (28. oldaltól).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tervezett projekt nem illeszkedik.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5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részletesen bemutatja az adott prioritáshoz és az ahhoz rendelt intézkedéshez való illeszkedést. Prioritás 5 (58. oldal): Egészséges, aktív és támogató társadalom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8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Településtipizálás, illeszkedés az </w:t>
            </w:r>
            <w:proofErr w:type="spell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ITP-hez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>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0/2/4/6/8/10/12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Megyei </w:t>
            </w:r>
            <w:proofErr w:type="spell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ITP-ben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szereplő komplex </w:t>
            </w:r>
            <w:proofErr w:type="spell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településfejlettségi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mutató értékei alapján (2. sz. melléklet, komplex_</w:t>
            </w:r>
            <w:proofErr w:type="spell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norm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, R oszlopa) szükséges a szempontnak való megfelelést bemutatni a megalapozó dokumentumban.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0,86 és afelett 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0,81-0,85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0,76-0,80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0,71-0,75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0,66-0,70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0,61-0,65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12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0,65 alatt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8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pályázat konzorciumban történő megvalósítása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>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0/10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önállóan valósítja meg a pályázatot.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konzorciumban valósítja meg a pályázatot.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szempontnak való megfelelés vizsgálata a támogatási kérelemhez benyújtott konzorciumi 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lastRenderedPageBreak/>
              <w:t>együttműködési megállapodás alapján történik.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0"/>
                <w:numId w:val="27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59" w:type="pct"/>
            <w:gridSpan w:val="3"/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Területi egyenlőtlenségek csökkentése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megvalósításával érintett település a 105/2015. (IV. 23.) Korm. rendelet 2. sz. melléklete alapján társadalmi-gazdasági és infrastrukturális szempontból kedvezményezett településnek és/vagy jelentős munkanélküliséggel sújtott településnek minősül.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0/4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szükséges bemutatni a megvalósítással érintett településeket és jogszabály szerinti besorolásuk bemutatását.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feltétel teljesülésének vizsgálata a 105/2015. (IV. 23.) Korm. rendelet 2. sz. melléklete alapján történik: </w:t>
            </w:r>
            <w:hyperlink r:id="rId8" w:history="1">
              <w:r w:rsidRPr="00960A08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http://njt.hu</w:t>
              </w:r>
            </w:hyperlink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megvalósításával érintett </w:t>
            </w:r>
            <w:proofErr w:type="gram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település(</w:t>
            </w:r>
            <w:proofErr w:type="spellStart"/>
            <w:proofErr w:type="gram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ek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egyik kategóriába sem sorolható(</w:t>
            </w:r>
            <w:proofErr w:type="spell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ak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a kormányrendeletben meghatározott kedvezményezett településen valósul meg, amely társadalmi-gazdasági és infrastrukturális szempontból kedvezményezett településnek és/vagy jelentős munkanélküliséggel sújtott településnek minősül.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tervezett projekt a 290/2014. (XI. 26.) Korm. rendelet alapján besorolt kedvezményezett járásba, illetve a Győr-Moson-Sopron Megyei Közgyűlés 8/2016. (II..26.) számú határozata értelmében regionális szempontból kedvezményezett járásba tartozó településen valósul meg.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0/4/8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szükséges bemutatni a megvalósítással érintett településeket és jogszabály szerinti besorolásuk bemutatását.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feltétel teljesülésének vizsgálata a 290/2014. (XI. 26.) Korm. rendelet 3. sz. melléklete alapján történik: </w:t>
            </w:r>
            <w:hyperlink r:id="rId9" w:history="1">
              <w:r w:rsidRPr="00960A08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http://njt.hu</w:t>
              </w:r>
            </w:hyperlink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nem kedvezményezett járásban található településen valósul meg.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a megye által besorolt regionális szempontból kedvezményezett járáshoz tartozó településen valósul meg.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a 290/2014. (XI. 26.) Korm. rendelet alapján meghatározott kedvezményezett járásban található településen valósul meg.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fejlesztés 5.000 fő alatti lakónépességű településen valósul meg.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0/5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adatok forrása: KSH online elérhető helységnévtára (</w:t>
            </w:r>
            <w:hyperlink r:id="rId10" w:history="1">
              <w:r w:rsidRPr="00960A08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http://www.ksh.hu/apps/hntr.main</w:t>
              </w:r>
            </w:hyperlink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szerinti, a támogatási kérelem benyújtásakor rendelkezésre álló legfrissebb adatok alapján.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megvalósítási helyszíne 5000 vagy afeletti lakónépességű település.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5 pont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: amennyiben a projekt megvalósítási helyszíne 5000 fő alatti lakónépességű település.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lastRenderedPageBreak/>
              <w:t>Amennyiben a projekt megvalósítási helyszíne több települést érint és legalább egyik település 5000 fő lakónépesség alatti, úgy 5 pont adható.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0"/>
                <w:numId w:val="27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59" w:type="pct"/>
            <w:gridSpan w:val="3"/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Népességmegtartó képesség erősítése, élhető település kialakítása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Infrastrukturális fejlesztés esetén a projektben megújuló energiát hasznosító technológiák is alkalmazásra kerülnek.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0/10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a projekt adatlap és a megalapozó dokumentum alapján kerül értékelésre.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 xml:space="preserve">0 pont: 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amennyiben a támogatást igénylő nem tervezi megújuló energiaforrások kialakítását a projektben, vagy nincs rá vonatkozó információ a támogatási kérelemben.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infrastrukturális fejlesztés esetén, a támogatást igénylő megújuló energiaforrások kialakítását tervezi a projektben.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több egészségügyi alapellátás fejlesztésére irányul.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0/2/5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értékelési szempontba beszámítható egészségügyi alapellátási formák:</w:t>
            </w:r>
          </w:p>
          <w:p w:rsidR="00960A08" w:rsidRPr="00960A08" w:rsidRDefault="00960A08" w:rsidP="00960A08">
            <w:pPr>
              <w:widowControl w:val="0"/>
              <w:numPr>
                <w:ilvl w:val="0"/>
                <w:numId w:val="26"/>
              </w:numPr>
              <w:suppressAutoHyphens/>
              <w:spacing w:before="20" w:after="20" w:line="240" w:lineRule="auto"/>
              <w:ind w:left="497"/>
              <w:contextualSpacing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háziorvosi ellátás (ideértve: felnőtt, gyermek, vegyes praxist, melyek külön-külön számítandóak a pontozás során, azonban a vegyes háziorvosi praxis egy alapellátásnak számít);</w:t>
            </w:r>
          </w:p>
          <w:p w:rsidR="00960A08" w:rsidRPr="00960A08" w:rsidRDefault="00960A08" w:rsidP="00960A08">
            <w:pPr>
              <w:widowControl w:val="0"/>
              <w:numPr>
                <w:ilvl w:val="0"/>
                <w:numId w:val="26"/>
              </w:numPr>
              <w:suppressAutoHyphens/>
              <w:spacing w:before="20" w:after="20" w:line="240" w:lineRule="auto"/>
              <w:ind w:left="497"/>
              <w:contextualSpacing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fogorvosi alapellátás;</w:t>
            </w:r>
          </w:p>
          <w:p w:rsidR="00960A08" w:rsidRPr="00960A08" w:rsidRDefault="00960A08" w:rsidP="00960A08">
            <w:pPr>
              <w:widowControl w:val="0"/>
              <w:numPr>
                <w:ilvl w:val="0"/>
                <w:numId w:val="26"/>
              </w:numPr>
              <w:suppressAutoHyphens/>
              <w:spacing w:before="20" w:after="20" w:line="240" w:lineRule="auto"/>
              <w:ind w:left="497"/>
              <w:contextualSpacing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alapellátáshoz kapcsolódó fogorvosi ügyeleti ellátás;</w:t>
            </w:r>
          </w:p>
          <w:p w:rsidR="00960A08" w:rsidRPr="00960A08" w:rsidRDefault="00960A08" w:rsidP="00960A08">
            <w:pPr>
              <w:widowControl w:val="0"/>
              <w:numPr>
                <w:ilvl w:val="0"/>
                <w:numId w:val="26"/>
              </w:numPr>
              <w:suppressAutoHyphens/>
              <w:spacing w:before="20" w:after="20" w:line="240" w:lineRule="auto"/>
              <w:ind w:left="497"/>
              <w:contextualSpacing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védőnői ellátás;</w:t>
            </w:r>
          </w:p>
          <w:p w:rsidR="00960A08" w:rsidRPr="00960A08" w:rsidRDefault="00960A08" w:rsidP="00960A08">
            <w:pPr>
              <w:widowControl w:val="0"/>
              <w:numPr>
                <w:ilvl w:val="0"/>
                <w:numId w:val="26"/>
              </w:numPr>
              <w:suppressAutoHyphens/>
              <w:spacing w:before="20" w:after="20" w:line="240" w:lineRule="auto"/>
              <w:ind w:left="497"/>
              <w:contextualSpacing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iskola-egészségügyi ellátás (ideértve: iskolaorvosi, iskola-fogorvosi ellátást, melyek külön-külön számíthatóak).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a megalapozó dokumentum és az "Összesítés a fejlesztéssel érintett egységek működési engedélyéről, a fejlesztéssel érintett közfinanszírozott kapacitásokról - egészségügyi alapellátás" c. dokumentum alapján kerül vizsgálatra.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1 db egészségügyi alapellátás fejlesztését érinti, vagy ha a projekt nem tartalmazza egészségügyi alapellátás fejlesztését.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2 db vagy 3 db egészségügyi alapellátás fejlesztését tartalmazza.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5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4 db vagy annál több egészségügyi alapellátás fejlesztését tartalmazza.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keretében több szociális alapszolgáltatás, gyermekjóléti alapellátás fejlesztése valósul meg.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0-10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értékelési szempontba beszámítható szociális alapszolgáltatás, gyermekjóléti alapellátás: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1) az étkeztetés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2) a házi segítségnyújtás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3) a jelzőrendszeres házi segítségnyújtás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lastRenderedPageBreak/>
              <w:t>4) a közösségi ellátások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5) a támogató szolgáltatás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6) az utcai szociális munka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7) a nappali ellátás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8) család- és gyermekjóléti szolgálat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9) család- és gyermekjóléti központ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10) családok átmeneti otthona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kell bemutatni.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Érintett szolgáltatásonként 1 pont adható, maximálisan 10 pont adható.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Egészségügyi alapellátás fejlesztése esetén a projekt keretében a támogatási kérelem benyújtásakor betöltetlennek minősülő védőnői szolgálat, háziorvosi/házi gyermekorvosi/fogorvosi/iskola-egészségügyi praxis is fejlesztésre kerül.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0/5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szempont a támogatási kérelem benyújtásakor betöltetlen praxisok, szolgáltatások fejlesztését pontozza. 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a megalapozó dokumentum és az "Összesítés a fejlesztéssel érintett egységek működési engedélyéről, a fejlesztéssel érintett közfinanszírozott kapacitásokról - egészségügyi alapellátás" c. dokumentum alapján kerül vizsgálatra.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keretében tervezett fejlesztés nem érint a támogatási kérelem benyújtásakor betöltetlennek minősülő védőnői szolgálatot, háziorvosi/házi gyermekorvosi/ fogorvosi/iskola-egészségügyi praxist.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5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keretében tervezett fejlesztés a támogatási kérelem benyújtásakor betöltetlennek minősülő védőnői szolgálatot, háziorvosi/házi gyermekorvosi/ fogorvosi/iskola-egészségügyi praxist érint.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0"/>
                <w:numId w:val="27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59" w:type="pct"/>
            <w:gridSpan w:val="3"/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Társadalmi kohézió erősítése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Több önállóan nem támogatható, választható tevékenységet is tartalmaz a támogatási kérelem.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0/2/4/6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 és a projektdokumentáció alapján kerül vizsgálatra.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nem tartalmaz önállóan nem támogatható, választható tevékenységet.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1-2 db önállóan nem támogatható, választható tevékenységet tartalmaz.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3-4 db önállóan nem támogatható, választható tevékenységet tartalmaz.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lastRenderedPageBreak/>
              <w:t>6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4 db-nál több önállóan nem támogatható, választható tevékenységet tartalmaz.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Egészségügyi alapellátás fejlesztése esetén a projekt olyan településen valósul meg, amely nem rendelkezik aktív </w:t>
            </w:r>
            <w:proofErr w:type="spell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járóbeteg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szakellátással.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0/5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nem tartalmaz egészségügyi alapellátást fejlesztést, vagy ha tartalmaz egészségügyi alapellátás fejlesztést, azonban a településen aktív </w:t>
            </w:r>
            <w:proofErr w:type="spell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járóbeteg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szakellátás működik.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5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egészségügyi alapellátás fejlesztést tartalmaz és a fejlesztéssel érintett településen aktív </w:t>
            </w:r>
            <w:proofErr w:type="spell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járóbeteg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szakellátás nem működik.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Amennyiben a projekt megvalósítási helyszíne több települést érint és ezek közül legalább egy település - ahol az egészségügyi alapellátás fejlesztésre kerül - nem rendelkezik aktív </w:t>
            </w:r>
            <w:proofErr w:type="spellStart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járóbeteg</w:t>
            </w:r>
            <w:proofErr w:type="spellEnd"/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szakellátással, úgy 5 pont adható.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Egészségügyi járóbeteg-szakellátás fejlesztése esetén a projekt olyan településen valósul meg, amely nem rendelkezik aktív fekvőbeteg ellátással.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0/5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nem tartalmaz egészségügyi járóbeteg-szakellátás fejlesztést, vagy ha tartalmaz egészségügyi járóbeteg-szakellátás fejlesztést, azonban a településen aktív fekvőbeteg ellátás működik.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5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egészségügyi járóbeteg-szakellátás fejlesztést tartalmaz és a fejlesztéssel érintett településen fekvőbeteg ellátás nem működik.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Amennyiben a projekt megvalósítási helyszíne több települést érint és ezek közül legalább egy település - ahol az egészségügyi járóbeteg-szakellátás fejlesztésre kerül - nem rendelkezik aktív fekvőbeteg szakellátással, úgy 5 pont adható.</w:t>
            </w:r>
          </w:p>
        </w:tc>
      </w:tr>
      <w:tr w:rsidR="00960A08" w:rsidRPr="00960A08" w:rsidTr="001F4FF3">
        <w:trPr>
          <w:trHeight w:val="271"/>
        </w:trPr>
        <w:tc>
          <w:tcPr>
            <w:tcW w:w="441" w:type="pct"/>
            <w:vAlign w:val="center"/>
          </w:tcPr>
          <w:p w:rsidR="00960A08" w:rsidRPr="00960A08" w:rsidRDefault="00960A08" w:rsidP="00960A08">
            <w:pPr>
              <w:widowControl w:val="0"/>
              <w:numPr>
                <w:ilvl w:val="1"/>
                <w:numId w:val="27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Új, a településen addig nem működő szociális alapszolgáltatás kerül bevezetésre a település közigazgatási területén belül. </w:t>
            </w:r>
          </w:p>
        </w:tc>
        <w:tc>
          <w:tcPr>
            <w:tcW w:w="587" w:type="pct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0/2/4</w:t>
            </w:r>
          </w:p>
        </w:tc>
        <w:tc>
          <w:tcPr>
            <w:tcW w:w="2844" w:type="pct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értékelési szempontnak való megfelelés a megalapozó dokumentum, a projektdokumentáció alapján kerül vizsgálatra.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keretében nem kerül kialakításra.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keretében kialakításra kerül 1 fajta szociális alapszolgáltatás.</w:t>
            </w:r>
          </w:p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960A08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960A08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keretében kialakításra kerül több, mint 1 fajta szociális alapszolgáltatás.</w:t>
            </w:r>
          </w:p>
        </w:tc>
      </w:tr>
      <w:tr w:rsidR="00960A08" w:rsidRPr="00960A08" w:rsidTr="001F4FF3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4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128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960A08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Összesen:</w:t>
            </w: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60A08" w:rsidRPr="00960A08" w:rsidRDefault="00960A08" w:rsidP="00960A08">
            <w:pPr>
              <w:spacing w:before="20" w:after="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60A08">
              <w:rPr>
                <w:rFonts w:ascii="Arial" w:eastAsia="Calibri" w:hAnsi="Arial" w:cs="Arial"/>
                <w:b/>
                <w:sz w:val="20"/>
                <w:szCs w:val="20"/>
              </w:rPr>
              <w:t>145</w:t>
            </w:r>
          </w:p>
        </w:tc>
        <w:tc>
          <w:tcPr>
            <w:tcW w:w="2844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60A08" w:rsidRPr="00960A08" w:rsidRDefault="00960A08" w:rsidP="00960A08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</w:tr>
    </w:tbl>
    <w:p w:rsidR="00CA6288" w:rsidRDefault="00CA6288">
      <w:bookmarkStart w:id="4" w:name="_GoBack"/>
      <w:bookmarkEnd w:id="4"/>
    </w:p>
    <w:sectPr w:rsidR="00CA6288" w:rsidSect="00CA62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3C0" w:rsidRDefault="002F63C0" w:rsidP="00CA6288">
      <w:pPr>
        <w:spacing w:after="0" w:line="240" w:lineRule="auto"/>
      </w:pPr>
      <w:r>
        <w:separator/>
      </w:r>
    </w:p>
  </w:endnote>
  <w:endnote w:type="continuationSeparator" w:id="0">
    <w:p w:rsidR="002F63C0" w:rsidRDefault="002F63C0" w:rsidP="00CA6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3C0" w:rsidRDefault="002F63C0" w:rsidP="00CA6288">
      <w:pPr>
        <w:spacing w:after="0" w:line="240" w:lineRule="auto"/>
      </w:pPr>
      <w:r>
        <w:separator/>
      </w:r>
    </w:p>
  </w:footnote>
  <w:footnote w:type="continuationSeparator" w:id="0">
    <w:p w:rsidR="002F63C0" w:rsidRDefault="002F63C0" w:rsidP="00CA6288">
      <w:pPr>
        <w:spacing w:after="0" w:line="240" w:lineRule="auto"/>
      </w:pPr>
      <w:r>
        <w:continuationSeparator/>
      </w:r>
    </w:p>
  </w:footnote>
  <w:footnote w:id="1">
    <w:p w:rsidR="00CA6288" w:rsidRPr="00F51B4B" w:rsidRDefault="00CA6288" w:rsidP="00CA6288">
      <w:pPr>
        <w:pStyle w:val="Lbjegyzetszveg"/>
        <w:rPr>
          <w:sz w:val="16"/>
          <w:szCs w:val="16"/>
        </w:rPr>
      </w:pPr>
      <w:r w:rsidRPr="00F51B4B">
        <w:rPr>
          <w:rStyle w:val="Lbjegyzet-hivatkozs"/>
          <w:sz w:val="16"/>
          <w:szCs w:val="16"/>
        </w:rPr>
        <w:footnoteRef/>
      </w:r>
      <w:r w:rsidRPr="00F51B4B">
        <w:rPr>
          <w:sz w:val="16"/>
          <w:szCs w:val="16"/>
        </w:rPr>
        <w:t xml:space="preserve"> Szolgálati lakás esetében kizárólag a lakófunkció fejlesztése támogatható</w:t>
      </w:r>
      <w:r>
        <w:rPr>
          <w:sz w:val="16"/>
          <w:szCs w:val="16"/>
        </w:rPr>
        <w:t>.</w:t>
      </w:r>
    </w:p>
  </w:footnote>
  <w:footnote w:id="2">
    <w:p w:rsidR="00CA6288" w:rsidRDefault="00CA6288" w:rsidP="00CA628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sz w:val="16"/>
          <w:szCs w:val="16"/>
          <w:lang w:eastAsia="hu-HU"/>
        </w:rPr>
        <w:t>Praxisközösség</w:t>
      </w:r>
      <w:r>
        <w:rPr>
          <w:sz w:val="16"/>
          <w:szCs w:val="16"/>
          <w:lang w:eastAsia="hu-HU"/>
        </w:rPr>
        <w:t>: a háziorvosi, házi gyermekorvosi, alapellátást nyújtó fogorvosi, védőnői szolgáltatók feladatainak ellátására létrejött működési forma.</w:t>
      </w:r>
    </w:p>
  </w:footnote>
  <w:footnote w:id="3">
    <w:p w:rsidR="00CA6288" w:rsidRPr="00EE379C" w:rsidRDefault="00CA6288" w:rsidP="00CA6288">
      <w:pPr>
        <w:pStyle w:val="Lbjegyzetszveg"/>
        <w:jc w:val="both"/>
        <w:rPr>
          <w:sz w:val="16"/>
          <w:szCs w:val="16"/>
        </w:rPr>
      </w:pPr>
      <w:r w:rsidRPr="00EE379C">
        <w:rPr>
          <w:rStyle w:val="Lbjegyzet-hivatkozs"/>
          <w:sz w:val="16"/>
          <w:szCs w:val="16"/>
        </w:rPr>
        <w:footnoteRef/>
      </w:r>
      <w:r w:rsidRPr="00EE379C">
        <w:rPr>
          <w:sz w:val="16"/>
          <w:szCs w:val="16"/>
        </w:rPr>
        <w:t xml:space="preserve"> </w:t>
      </w:r>
      <w:r w:rsidRPr="00EE379C">
        <w:rPr>
          <w:rFonts w:cs="Arial"/>
          <w:sz w:val="16"/>
          <w:szCs w:val="16"/>
        </w:rPr>
        <w:t xml:space="preserve">A Szociális törvény 62 § (1) bekezdése és az 1/2000. (I. 7.) </w:t>
      </w:r>
      <w:proofErr w:type="spellStart"/>
      <w:r w:rsidRPr="00EE379C">
        <w:rPr>
          <w:rFonts w:cs="Arial"/>
          <w:sz w:val="16"/>
          <w:szCs w:val="16"/>
        </w:rPr>
        <w:t>SzCsM</w:t>
      </w:r>
      <w:proofErr w:type="spellEnd"/>
      <w:r w:rsidRPr="00EE379C">
        <w:rPr>
          <w:rFonts w:cs="Arial"/>
          <w:sz w:val="16"/>
          <w:szCs w:val="16"/>
        </w:rPr>
        <w:t xml:space="preserve"> rendelet</w:t>
      </w:r>
      <w:r>
        <w:rPr>
          <w:rFonts w:cs="Arial"/>
          <w:sz w:val="16"/>
          <w:szCs w:val="16"/>
        </w:rPr>
        <w:t xml:space="preserve"> a</w:t>
      </w:r>
      <w:r w:rsidRPr="00EE379C">
        <w:rPr>
          <w:rFonts w:cs="Arial"/>
          <w:sz w:val="16"/>
          <w:szCs w:val="16"/>
        </w:rPr>
        <w:t xml:space="preserve"> személyes gondoskodást nyújtó szociális intézmények szakmai feladatairól és működésük feltételeiről 2. Cím által definiált étkeztetés értendő.</w:t>
      </w:r>
    </w:p>
  </w:footnote>
  <w:footnote w:id="4">
    <w:p w:rsidR="00CA6288" w:rsidRPr="00EE103E" w:rsidRDefault="00CA6288" w:rsidP="00CA6288">
      <w:pPr>
        <w:pStyle w:val="Lbjegyzetszveg"/>
        <w:jc w:val="both"/>
        <w:rPr>
          <w:rFonts w:cs="Arial"/>
          <w:sz w:val="16"/>
          <w:szCs w:val="16"/>
        </w:rPr>
      </w:pPr>
      <w:r w:rsidRPr="00EE103E">
        <w:rPr>
          <w:rStyle w:val="Lbjegyzet-hivatkozs"/>
          <w:rFonts w:cs="Arial"/>
          <w:sz w:val="16"/>
          <w:szCs w:val="16"/>
        </w:rPr>
        <w:footnoteRef/>
      </w:r>
      <w:r w:rsidRPr="00EE103E">
        <w:rPr>
          <w:rFonts w:cs="Arial"/>
          <w:sz w:val="16"/>
          <w:szCs w:val="16"/>
        </w:rPr>
        <w:t xml:space="preserve"> Amennyiben a tulajdoni hányada eléri legalább az 51%-ot.</w:t>
      </w:r>
    </w:p>
  </w:footnote>
  <w:footnote w:id="5">
    <w:p w:rsidR="00CA6288" w:rsidRPr="00860941" w:rsidRDefault="00CA6288" w:rsidP="00CA6288">
      <w:pPr>
        <w:pStyle w:val="Lbjegyzetszveg"/>
        <w:jc w:val="both"/>
        <w:rPr>
          <w:sz w:val="16"/>
          <w:szCs w:val="16"/>
        </w:rPr>
      </w:pPr>
      <w:r w:rsidRPr="00860941">
        <w:rPr>
          <w:rStyle w:val="Lbjegyzet-hivatkozs"/>
          <w:sz w:val="16"/>
          <w:szCs w:val="16"/>
        </w:rPr>
        <w:footnoteRef/>
      </w:r>
      <w:r w:rsidRPr="00860941">
        <w:rPr>
          <w:sz w:val="16"/>
          <w:szCs w:val="16"/>
        </w:rPr>
        <w:t xml:space="preserve"> </w:t>
      </w:r>
      <w:r w:rsidRPr="00EE103E">
        <w:rPr>
          <w:sz w:val="16"/>
          <w:szCs w:val="16"/>
        </w:rPr>
        <w:t>Amennyiben a tulajdoni hányada eléri az 51%-ot.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707F"/>
    <w:multiLevelType w:val="hybridMultilevel"/>
    <w:tmpl w:val="1152D47C"/>
    <w:lvl w:ilvl="0" w:tplc="86F042BA">
      <w:start w:val="1"/>
      <w:numFmt w:val="decimal"/>
      <w:lvlText w:val="d%1)"/>
      <w:lvlJc w:val="left"/>
      <w:pPr>
        <w:ind w:left="720" w:hanging="360"/>
      </w:pPr>
      <w:rPr>
        <w:rFonts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42EF1"/>
    <w:multiLevelType w:val="hybridMultilevel"/>
    <w:tmpl w:val="D904128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364B4"/>
    <w:multiLevelType w:val="hybridMultilevel"/>
    <w:tmpl w:val="2E8AEBA0"/>
    <w:lvl w:ilvl="0" w:tplc="6BCC0028">
      <w:start w:val="20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0A40"/>
    <w:multiLevelType w:val="multilevel"/>
    <w:tmpl w:val="C58039F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7D3AF4"/>
    <w:multiLevelType w:val="multilevel"/>
    <w:tmpl w:val="44D066DE"/>
    <w:lvl w:ilvl="0">
      <w:start w:val="3"/>
      <w:numFmt w:val="upperLetter"/>
      <w:lvlText w:val="%1)"/>
      <w:lvlJc w:val="left"/>
      <w:pPr>
        <w:ind w:left="1222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9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82" w:hanging="180"/>
      </w:pPr>
      <w:rPr>
        <w:rFonts w:hint="default"/>
      </w:rPr>
    </w:lvl>
  </w:abstractNum>
  <w:abstractNum w:abstractNumId="5" w15:restartNumberingAfterBreak="0">
    <w:nsid w:val="1FD90573"/>
    <w:multiLevelType w:val="hybridMultilevel"/>
    <w:tmpl w:val="8B582CFE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84EBF"/>
    <w:multiLevelType w:val="hybridMultilevel"/>
    <w:tmpl w:val="8A7078E6"/>
    <w:lvl w:ilvl="0" w:tplc="6952F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63E54"/>
    <w:multiLevelType w:val="multilevel"/>
    <w:tmpl w:val="A51CA3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2E2304"/>
    <w:multiLevelType w:val="multilevel"/>
    <w:tmpl w:val="891A2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131740A"/>
    <w:multiLevelType w:val="multilevel"/>
    <w:tmpl w:val="63D66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8C4BB4"/>
    <w:multiLevelType w:val="hybridMultilevel"/>
    <w:tmpl w:val="16DA0746"/>
    <w:lvl w:ilvl="0" w:tplc="ADCE6050">
      <w:start w:val="1"/>
      <w:numFmt w:val="decimal"/>
      <w:lvlText w:val="b%1)"/>
      <w:lvlJc w:val="left"/>
      <w:pPr>
        <w:ind w:left="9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34001848"/>
    <w:multiLevelType w:val="multilevel"/>
    <w:tmpl w:val="180E2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5B348AD"/>
    <w:multiLevelType w:val="hybridMultilevel"/>
    <w:tmpl w:val="6620732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B1156"/>
    <w:multiLevelType w:val="hybridMultilevel"/>
    <w:tmpl w:val="11A41530"/>
    <w:lvl w:ilvl="0" w:tplc="42064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B3081"/>
    <w:multiLevelType w:val="hybridMultilevel"/>
    <w:tmpl w:val="EFA07438"/>
    <w:lvl w:ilvl="0" w:tplc="040E0001">
      <w:start w:val="1"/>
      <w:numFmt w:val="bullet"/>
      <w:lvlText w:val=""/>
      <w:lvlJc w:val="left"/>
      <w:pPr>
        <w:ind w:left="18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5" w15:restartNumberingAfterBreak="0">
    <w:nsid w:val="3EFC04E4"/>
    <w:multiLevelType w:val="hybridMultilevel"/>
    <w:tmpl w:val="7E064834"/>
    <w:lvl w:ilvl="0" w:tplc="39FAB1E2">
      <w:numFmt w:val="bullet"/>
      <w:lvlText w:val="-"/>
      <w:lvlJc w:val="left"/>
      <w:pPr>
        <w:ind w:left="770" w:hanging="360"/>
      </w:pPr>
      <w:rPr>
        <w:rFonts w:ascii="Franklin Gothic Book" w:eastAsia="Times New Roman" w:hAnsi="Franklin Gothic Book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3FDF20CF"/>
    <w:multiLevelType w:val="hybridMultilevel"/>
    <w:tmpl w:val="95289660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27B45"/>
    <w:multiLevelType w:val="multilevel"/>
    <w:tmpl w:val="92D6C662"/>
    <w:lvl w:ilvl="0">
      <w:start w:val="1"/>
      <w:numFmt w:val="decimal"/>
      <w:lvlText w:val="c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431634"/>
    <w:multiLevelType w:val="hybridMultilevel"/>
    <w:tmpl w:val="E1762BE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84775F0"/>
    <w:multiLevelType w:val="multilevel"/>
    <w:tmpl w:val="74AA002C"/>
    <w:lvl w:ilvl="0">
      <w:start w:val="1"/>
      <w:numFmt w:val="decimal"/>
      <w:lvlText w:val="a%1)"/>
      <w:lvlJc w:val="left"/>
      <w:pPr>
        <w:ind w:left="122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42" w:hanging="360"/>
      </w:pPr>
    </w:lvl>
    <w:lvl w:ilvl="2">
      <w:start w:val="1"/>
      <w:numFmt w:val="lowerRoman"/>
      <w:lvlText w:val="%3."/>
      <w:lvlJc w:val="right"/>
      <w:pPr>
        <w:ind w:left="2662" w:hanging="180"/>
      </w:pPr>
    </w:lvl>
    <w:lvl w:ilvl="3">
      <w:start w:val="1"/>
      <w:numFmt w:val="decimal"/>
      <w:lvlText w:val="%4."/>
      <w:lvlJc w:val="left"/>
      <w:pPr>
        <w:ind w:left="3382" w:hanging="360"/>
      </w:pPr>
    </w:lvl>
    <w:lvl w:ilvl="4">
      <w:start w:val="1"/>
      <w:numFmt w:val="lowerLetter"/>
      <w:lvlText w:val="%5."/>
      <w:lvlJc w:val="left"/>
      <w:pPr>
        <w:ind w:left="4102" w:hanging="360"/>
      </w:pPr>
    </w:lvl>
    <w:lvl w:ilvl="5">
      <w:start w:val="1"/>
      <w:numFmt w:val="lowerRoman"/>
      <w:lvlText w:val="%6."/>
      <w:lvlJc w:val="right"/>
      <w:pPr>
        <w:ind w:left="4822" w:hanging="180"/>
      </w:pPr>
    </w:lvl>
    <w:lvl w:ilvl="6">
      <w:start w:val="1"/>
      <w:numFmt w:val="decimal"/>
      <w:lvlText w:val="%7."/>
      <w:lvlJc w:val="left"/>
      <w:pPr>
        <w:ind w:left="5542" w:hanging="360"/>
      </w:pPr>
    </w:lvl>
    <w:lvl w:ilvl="7">
      <w:start w:val="1"/>
      <w:numFmt w:val="lowerLetter"/>
      <w:lvlText w:val="%8."/>
      <w:lvlJc w:val="left"/>
      <w:pPr>
        <w:ind w:left="6262" w:hanging="360"/>
      </w:pPr>
    </w:lvl>
    <w:lvl w:ilvl="8">
      <w:start w:val="1"/>
      <w:numFmt w:val="lowerRoman"/>
      <w:lvlText w:val="%9."/>
      <w:lvlJc w:val="right"/>
      <w:pPr>
        <w:ind w:left="6982" w:hanging="180"/>
      </w:pPr>
    </w:lvl>
  </w:abstractNum>
  <w:abstractNum w:abstractNumId="20" w15:restartNumberingAfterBreak="0">
    <w:nsid w:val="595841E1"/>
    <w:multiLevelType w:val="hybridMultilevel"/>
    <w:tmpl w:val="3C7E417C"/>
    <w:lvl w:ilvl="0" w:tplc="FAB487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2521A"/>
    <w:multiLevelType w:val="hybridMultilevel"/>
    <w:tmpl w:val="672A51C6"/>
    <w:lvl w:ilvl="0" w:tplc="68CE1F26">
      <w:start w:val="1"/>
      <w:numFmt w:val="decimal"/>
      <w:lvlText w:val="d%1)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650FB"/>
    <w:multiLevelType w:val="hybridMultilevel"/>
    <w:tmpl w:val="DB887BD4"/>
    <w:lvl w:ilvl="0" w:tplc="675A6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A5BF7"/>
    <w:multiLevelType w:val="hybridMultilevel"/>
    <w:tmpl w:val="A7E44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E12E0"/>
    <w:multiLevelType w:val="hybridMultilevel"/>
    <w:tmpl w:val="7DA0F1A4"/>
    <w:lvl w:ilvl="0" w:tplc="0ECAD396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92DBA"/>
    <w:multiLevelType w:val="hybridMultilevel"/>
    <w:tmpl w:val="C064688C"/>
    <w:lvl w:ilvl="0" w:tplc="162877AE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3F4CAD2C">
      <w:start w:val="1"/>
      <w:numFmt w:val="upperLetter"/>
      <w:lvlText w:val="%2)"/>
      <w:lvlJc w:val="left"/>
      <w:pPr>
        <w:ind w:left="2509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3229" w:hanging="180"/>
      </w:pPr>
    </w:lvl>
    <w:lvl w:ilvl="3" w:tplc="040E000F" w:tentative="1">
      <w:start w:val="1"/>
      <w:numFmt w:val="decimal"/>
      <w:lvlText w:val="%4."/>
      <w:lvlJc w:val="left"/>
      <w:pPr>
        <w:ind w:left="3949" w:hanging="360"/>
      </w:pPr>
    </w:lvl>
    <w:lvl w:ilvl="4" w:tplc="040E0019" w:tentative="1">
      <w:start w:val="1"/>
      <w:numFmt w:val="lowerLetter"/>
      <w:lvlText w:val="%5."/>
      <w:lvlJc w:val="left"/>
      <w:pPr>
        <w:ind w:left="4669" w:hanging="360"/>
      </w:pPr>
    </w:lvl>
    <w:lvl w:ilvl="5" w:tplc="040E001B" w:tentative="1">
      <w:start w:val="1"/>
      <w:numFmt w:val="lowerRoman"/>
      <w:lvlText w:val="%6."/>
      <w:lvlJc w:val="right"/>
      <w:pPr>
        <w:ind w:left="5389" w:hanging="180"/>
      </w:pPr>
    </w:lvl>
    <w:lvl w:ilvl="6" w:tplc="040E000F" w:tentative="1">
      <w:start w:val="1"/>
      <w:numFmt w:val="decimal"/>
      <w:lvlText w:val="%7."/>
      <w:lvlJc w:val="left"/>
      <w:pPr>
        <w:ind w:left="6109" w:hanging="360"/>
      </w:pPr>
    </w:lvl>
    <w:lvl w:ilvl="7" w:tplc="040E0019" w:tentative="1">
      <w:start w:val="1"/>
      <w:numFmt w:val="lowerLetter"/>
      <w:lvlText w:val="%8."/>
      <w:lvlJc w:val="left"/>
      <w:pPr>
        <w:ind w:left="6829" w:hanging="360"/>
      </w:pPr>
    </w:lvl>
    <w:lvl w:ilvl="8" w:tplc="040E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 w15:restartNumberingAfterBreak="0">
    <w:nsid w:val="75D66F74"/>
    <w:multiLevelType w:val="hybridMultilevel"/>
    <w:tmpl w:val="06A8C57C"/>
    <w:lvl w:ilvl="0" w:tplc="040E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7" w15:restartNumberingAfterBreak="0">
    <w:nsid w:val="7E497C0C"/>
    <w:multiLevelType w:val="multilevel"/>
    <w:tmpl w:val="4AC26F00"/>
    <w:lvl w:ilvl="0">
      <w:start w:val="1"/>
      <w:numFmt w:val="decimal"/>
      <w:lvlText w:val="a%1)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2"/>
  </w:num>
  <w:num w:numId="3">
    <w:abstractNumId w:val="20"/>
  </w:num>
  <w:num w:numId="4">
    <w:abstractNumId w:val="24"/>
  </w:num>
  <w:num w:numId="5">
    <w:abstractNumId w:val="6"/>
  </w:num>
  <w:num w:numId="6">
    <w:abstractNumId w:val="13"/>
  </w:num>
  <w:num w:numId="7">
    <w:abstractNumId w:val="27"/>
  </w:num>
  <w:num w:numId="8">
    <w:abstractNumId w:val="23"/>
  </w:num>
  <w:num w:numId="9">
    <w:abstractNumId w:val="21"/>
  </w:num>
  <w:num w:numId="10">
    <w:abstractNumId w:val="25"/>
  </w:num>
  <w:num w:numId="11">
    <w:abstractNumId w:val="19"/>
  </w:num>
  <w:num w:numId="12">
    <w:abstractNumId w:val="10"/>
  </w:num>
  <w:num w:numId="13">
    <w:abstractNumId w:val="4"/>
  </w:num>
  <w:num w:numId="14">
    <w:abstractNumId w:val="17"/>
  </w:num>
  <w:num w:numId="15">
    <w:abstractNumId w:val="0"/>
  </w:num>
  <w:num w:numId="16">
    <w:abstractNumId w:val="3"/>
  </w:num>
  <w:num w:numId="17">
    <w:abstractNumId w:val="2"/>
  </w:num>
  <w:num w:numId="18">
    <w:abstractNumId w:val="14"/>
  </w:num>
  <w:num w:numId="19">
    <w:abstractNumId w:val="26"/>
  </w:num>
  <w:num w:numId="20">
    <w:abstractNumId w:val="18"/>
  </w:num>
  <w:num w:numId="21">
    <w:abstractNumId w:val="16"/>
  </w:num>
  <w:num w:numId="22">
    <w:abstractNumId w:val="5"/>
  </w:num>
  <w:num w:numId="23">
    <w:abstractNumId w:val="12"/>
  </w:num>
  <w:num w:numId="24">
    <w:abstractNumId w:val="11"/>
  </w:num>
  <w:num w:numId="25">
    <w:abstractNumId w:val="9"/>
  </w:num>
  <w:num w:numId="26">
    <w:abstractNumId w:val="1"/>
  </w:num>
  <w:num w:numId="27">
    <w:abstractNumId w:val="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4DB"/>
    <w:rsid w:val="002F63C0"/>
    <w:rsid w:val="004464DB"/>
    <w:rsid w:val="008A099F"/>
    <w:rsid w:val="00960A08"/>
    <w:rsid w:val="00CA6288"/>
    <w:rsid w:val="00DD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42B3B-31EE-4231-89B1-65B9FB48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CA628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A6288"/>
    <w:rPr>
      <w:sz w:val="20"/>
      <w:szCs w:val="20"/>
    </w:rPr>
  </w:style>
  <w:style w:type="table" w:customStyle="1" w:styleId="Rcsostblzat1">
    <w:name w:val="Rácsos táblázat1"/>
    <w:basedOn w:val="Normltblzat"/>
    <w:qFormat/>
    <w:rsid w:val="00CA6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link w:val="denotaalpi"/>
    <w:uiPriority w:val="99"/>
    <w:rsid w:val="00CA6288"/>
    <w:rPr>
      <w:rFonts w:cs="Times New Roman"/>
      <w:vertAlign w:val="superscript"/>
    </w:rPr>
  </w:style>
  <w:style w:type="paragraph" w:customStyle="1" w:styleId="denotaalpi">
    <w:name w:val="de nota al pi..."/>
    <w:aliases w:val="Footnote symbol Char,Footnote Reference1 Car Char,Char Char,Carattere Carattere Char,SUPERS Carattere Carattere,Nota,Char,fr"/>
    <w:basedOn w:val="Norml"/>
    <w:link w:val="Lbjegyzet-hivatkozs"/>
    <w:uiPriority w:val="99"/>
    <w:rsid w:val="00CA6288"/>
    <w:pPr>
      <w:spacing w:before="120" w:after="120" w:line="240" w:lineRule="exact"/>
      <w:jc w:val="both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jt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jt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sh.hu/apps/hntr.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j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5554</Words>
  <Characters>38323</Characters>
  <Application>Microsoft Office Word</Application>
  <DocSecurity>0</DocSecurity>
  <Lines>319</Lines>
  <Paragraphs>87</Paragraphs>
  <ScaleCrop>false</ScaleCrop>
  <Company>Egységes InfraStruktúra</Company>
  <LinksUpToDate>false</LinksUpToDate>
  <CharactersWithSpaces>43790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Vadas Anett</dc:creator>
  <cp:keywords/>
  <dc:description/>
  <cp:lastModifiedBy>Vadas Anett</cp:lastModifiedBy>
  <cp:revision>4</cp:revision>
  <dcterms:created xsi:type="dcterms:W3CDTF">2024-01-26T13:08:00Z</dcterms:created>
  <dcterms:modified xsi:type="dcterms:W3CDTF">2024-01-30T10:37:00Z</dcterms:modified>
</cp:coreProperties>
</file>